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23DF6F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F1FE7">
        <w:t>11</w:t>
      </w:r>
      <w:r w:rsidR="00821029">
        <w:t>5</w:t>
      </w:r>
      <w:r w:rsidRPr="00CE0424">
        <w:tab/>
      </w:r>
      <w:proofErr w:type="spellStart"/>
      <w:r w:rsidRPr="00CE0424">
        <w:rPr>
          <w:sz w:val="32"/>
          <w:szCs w:val="32"/>
        </w:rPr>
        <w:t>Tdoc</w:t>
      </w:r>
      <w:proofErr w:type="spellEnd"/>
      <w:r w:rsidRPr="00CE0424">
        <w:rPr>
          <w:sz w:val="32"/>
          <w:szCs w:val="32"/>
        </w:rPr>
        <w:t xml:space="preserve"> </w:t>
      </w:r>
      <w:r w:rsidR="0036601E">
        <w:rPr>
          <w:sz w:val="32"/>
          <w:szCs w:val="32"/>
        </w:rPr>
        <w:t>R1-</w:t>
      </w:r>
      <w:r w:rsidR="0045147A" w:rsidRPr="0045147A">
        <w:rPr>
          <w:sz w:val="32"/>
          <w:szCs w:val="32"/>
        </w:rPr>
        <w:t>2312196</w:t>
      </w:r>
    </w:p>
    <w:p w14:paraId="3086AC07" w14:textId="348601A2" w:rsidR="00E90E49" w:rsidRPr="00CE0424" w:rsidRDefault="00821029" w:rsidP="00357380">
      <w:pPr>
        <w:pStyle w:val="3GPPHeader"/>
      </w:pPr>
      <w:r w:rsidRPr="00821029">
        <w:t>Chicago, USA, November 13th – November 17th, 2023</w:t>
      </w:r>
    </w:p>
    <w:p w14:paraId="3982483C" w14:textId="36AB4B7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92243" w:rsidRPr="001266C9">
        <w:rPr>
          <w:sz w:val="22"/>
          <w:lang w:val="sv-FI"/>
        </w:rPr>
        <w:t>7.1</w:t>
      </w:r>
    </w:p>
    <w:p w14:paraId="5619E868" w14:textId="1A1E162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CB0EB3" w:rsidRPr="0036601E">
        <w:rPr>
          <w:sz w:val="22"/>
        </w:rPr>
        <w:t xml:space="preserve">, </w:t>
      </w:r>
      <w:r w:rsidR="00CB0EB3" w:rsidRPr="0036601E">
        <w:t>T-Mobile USA</w:t>
      </w:r>
      <w:r w:rsidR="0045147A">
        <w:t>, Verizon</w:t>
      </w:r>
    </w:p>
    <w:p w14:paraId="3AF5C9FA" w14:textId="5EB15B78" w:rsidR="00E90E49" w:rsidRPr="00CE0424" w:rsidRDefault="003D3C45" w:rsidP="00311702">
      <w:pPr>
        <w:pStyle w:val="3GPPHeader"/>
        <w:rPr>
          <w:sz w:val="22"/>
        </w:rPr>
      </w:pPr>
      <w:r>
        <w:rPr>
          <w:sz w:val="22"/>
        </w:rPr>
        <w:t>Title:</w:t>
      </w:r>
      <w:r w:rsidR="00E90E49" w:rsidRPr="00CE0424">
        <w:rPr>
          <w:sz w:val="22"/>
        </w:rPr>
        <w:tab/>
      </w:r>
      <w:r w:rsidR="00A850BB" w:rsidRPr="00A850BB">
        <w:rPr>
          <w:sz w:val="22"/>
        </w:rPr>
        <w:t>SRS Carrier Switching with DL DCI formats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266C9">
        <w:rPr>
          <w:sz w:val="22"/>
        </w:rPr>
        <w:t>Discussion, Decision</w:t>
      </w:r>
    </w:p>
    <w:p w14:paraId="6883CB62" w14:textId="6451AE39" w:rsidR="00E90E49" w:rsidRPr="00CE0424" w:rsidRDefault="00230D18" w:rsidP="00CE0424">
      <w:pPr>
        <w:pStyle w:val="Heading1"/>
      </w:pPr>
      <w:r>
        <w:t>1</w:t>
      </w:r>
      <w:r>
        <w:tab/>
      </w:r>
      <w:r w:rsidR="00E90E49" w:rsidRPr="00CE0424">
        <w:t>Introduction</w:t>
      </w:r>
    </w:p>
    <w:p w14:paraId="5A3FD92C" w14:textId="3DC01728" w:rsidR="0022577C" w:rsidRDefault="0022577C" w:rsidP="00CE0424">
      <w:pPr>
        <w:pStyle w:val="BodyText"/>
      </w:pPr>
      <w:r>
        <w:t>In RAN1#114</w:t>
      </w:r>
      <w:r w:rsidR="007E2CFE">
        <w:t xml:space="preserve"> </w:t>
      </w:r>
      <w:r>
        <w:t xml:space="preserve">support for DCI formats 1_1 and 1_2 was discussed </w:t>
      </w:r>
      <w:r w:rsidR="00361CF8">
        <w:fldChar w:fldCharType="begin"/>
      </w:r>
      <w:r w:rsidR="00361CF8">
        <w:instrText xml:space="preserve"> REF _Ref142664398 \r \h </w:instrText>
      </w:r>
      <w:r w:rsidR="00361CF8">
        <w:fldChar w:fldCharType="separate"/>
      </w:r>
      <w:r w:rsidR="00FC4662">
        <w:t>[1]</w:t>
      </w:r>
      <w:r w:rsidR="00361CF8">
        <w:fldChar w:fldCharType="end"/>
      </w:r>
      <w:r w:rsidR="007E2CFE">
        <w:t>, and t</w:t>
      </w:r>
      <w:r>
        <w:t>he following agreement was made</w:t>
      </w:r>
      <w:r w:rsidR="007E2CFE">
        <w:t>.</w:t>
      </w:r>
    </w:p>
    <w:p w14:paraId="2403A657" w14:textId="77777777" w:rsidR="0022577C" w:rsidRPr="0022577C" w:rsidRDefault="0022577C" w:rsidP="0022577C">
      <w:pPr>
        <w:spacing w:after="0" w:line="240" w:lineRule="auto"/>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3B112AA0" w14:textId="77777777" w:rsidR="0022577C" w:rsidRPr="0022577C" w:rsidRDefault="0022577C" w:rsidP="0022577C">
      <w:pPr>
        <w:spacing w:after="0" w:line="240" w:lineRule="auto"/>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alternatives in RAN1#114bis:</w:t>
      </w:r>
    </w:p>
    <w:p w14:paraId="1C9D1FDB" w14:textId="77777777" w:rsidR="0022577C" w:rsidRPr="0022577C" w:rsidRDefault="0022577C" w:rsidP="0022577C">
      <w:pPr>
        <w:numPr>
          <w:ilvl w:val="0"/>
          <w:numId w:val="2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 xml:space="preserve">_2 triggering </w:t>
      </w:r>
      <w:proofErr w:type="gramStart"/>
      <w:r w:rsidRPr="0022577C">
        <w:rPr>
          <w:rFonts w:ascii="Times" w:eastAsia="Malgun Gothic" w:hAnsi="Times" w:cs="Arial"/>
          <w:szCs w:val="24"/>
          <w:lang w:val="en-GB" w:eastAsia="ko-KR"/>
        </w:rPr>
        <w:t>are</w:t>
      </w:r>
      <w:proofErr w:type="gramEnd"/>
      <w:r w:rsidRPr="0022577C">
        <w:rPr>
          <w:rFonts w:ascii="Times" w:eastAsia="Malgun Gothic" w:hAnsi="Times" w:cs="Arial"/>
          <w:szCs w:val="24"/>
          <w:lang w:val="en-GB" w:eastAsia="ko-KR"/>
        </w:rPr>
        <w:t xml:space="preserve"> supported for aperiodic SRS carrier switching in Rel-15</w:t>
      </w:r>
    </w:p>
    <w:p w14:paraId="52DBE555" w14:textId="77777777" w:rsidR="0022577C" w:rsidRPr="0022577C" w:rsidRDefault="0022577C" w:rsidP="0022577C">
      <w:pPr>
        <w:numPr>
          <w:ilvl w:val="0"/>
          <w:numId w:val="2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3F1B17EC" w14:textId="77777777" w:rsidR="007E2CFE" w:rsidRDefault="007E2CFE" w:rsidP="00CE0424">
      <w:pPr>
        <w:pStyle w:val="BodyText"/>
      </w:pPr>
    </w:p>
    <w:p w14:paraId="6AB94BA9" w14:textId="77FC4A7A" w:rsidR="0022577C" w:rsidRDefault="007E2CFE" w:rsidP="00CE0424">
      <w:pPr>
        <w:pStyle w:val="BodyText"/>
      </w:pPr>
      <w:r>
        <w:t xml:space="preserve">In further discussion in RAN1#114bis, the need for a Rel-17 UE capability was further </w:t>
      </w:r>
      <w:r w:rsidR="00233766">
        <w:t xml:space="preserve">discussed, as were </w:t>
      </w:r>
      <w:r w:rsidR="002C66D6" w:rsidRPr="002C66D6">
        <w:t>SRS configuration and transmission constraints</w:t>
      </w:r>
      <w:r w:rsidR="002C66D6">
        <w:t xml:space="preserve"> (including new </w:t>
      </w:r>
      <w:r w:rsidR="002C66D6" w:rsidRPr="002C66D6">
        <w:t xml:space="preserve">aspects arising from Rel-17 SRS transmission features) and the need for related specification corrections.  In this contribution, we review the discussions and open issues identified in RAN1#114bis </w:t>
      </w:r>
      <w:r w:rsidR="002C66D6" w:rsidRPr="002C66D6">
        <w:fldChar w:fldCharType="begin"/>
      </w:r>
      <w:r w:rsidR="002C66D6" w:rsidRPr="002C66D6">
        <w:instrText xml:space="preserve"> REF _Ref146564676 \r \h </w:instrText>
      </w:r>
      <w:r w:rsidR="002C66D6">
        <w:instrText xml:space="preserve"> \* MERGEFORMAT </w:instrText>
      </w:r>
      <w:r w:rsidR="002C66D6" w:rsidRPr="002C66D6">
        <w:fldChar w:fldCharType="separate"/>
      </w:r>
      <w:r w:rsidR="002C66D6" w:rsidRPr="002C66D6">
        <w:t>[2]</w:t>
      </w:r>
      <w:r w:rsidR="002C66D6" w:rsidRPr="002C66D6">
        <w:fldChar w:fldCharType="end"/>
      </w:r>
      <w:r w:rsidR="002C66D6" w:rsidRPr="002C66D6">
        <w:t xml:space="preserve">, providing proposals for </w:t>
      </w:r>
      <w:r w:rsidR="004C1EED">
        <w:t xml:space="preserve">a </w:t>
      </w:r>
      <w:r w:rsidR="002C66D6" w:rsidRPr="002C66D6">
        <w:t xml:space="preserve">way forward.  A </w:t>
      </w:r>
      <w:r w:rsidR="002C66D6">
        <w:t xml:space="preserve">supporting </w:t>
      </w:r>
      <w:r w:rsidR="00EA68D3">
        <w:t xml:space="preserve">Rel-17 </w:t>
      </w:r>
      <w:r w:rsidR="0022577C" w:rsidRPr="002C66D6">
        <w:t xml:space="preserve">draft CR </w:t>
      </w:r>
      <w:r w:rsidR="002C66D6" w:rsidRPr="002C66D6">
        <w:t>that explicitly identifies the DCI formats supported for aperiodic SRS carrier switching, that the UE transmits SRS on one serving ce</w:t>
      </w:r>
      <w:r w:rsidR="004875AD">
        <w:t>ll scheduled by the DCI</w:t>
      </w:r>
      <w:r w:rsidR="002C66D6" w:rsidRPr="002C66D6">
        <w:t xml:space="preserve">, and that at most one or two SRS resource sets are used </w:t>
      </w:r>
      <w:r w:rsidR="0022577C" w:rsidRPr="002C66D6">
        <w:t xml:space="preserve">is given in </w:t>
      </w:r>
      <w:r w:rsidR="00361CF8" w:rsidRPr="002C66D6">
        <w:fldChar w:fldCharType="begin"/>
      </w:r>
      <w:r w:rsidR="00361CF8" w:rsidRPr="002C66D6">
        <w:instrText xml:space="preserve"> REF _Ref146564714 \r \h </w:instrText>
      </w:r>
      <w:r w:rsidR="003F1065" w:rsidRPr="002C66D6">
        <w:instrText xml:space="preserve"> \* MERGEFORMAT </w:instrText>
      </w:r>
      <w:r w:rsidR="00361CF8" w:rsidRPr="002C66D6">
        <w:fldChar w:fldCharType="separate"/>
      </w:r>
      <w:r w:rsidR="00FC4662" w:rsidRPr="002C66D6">
        <w:t>[3]</w:t>
      </w:r>
      <w:r w:rsidR="00361CF8" w:rsidRPr="002C66D6">
        <w:fldChar w:fldCharType="end"/>
      </w:r>
      <w:r w:rsidR="0022577C" w:rsidRPr="002C66D6">
        <w:t>.</w:t>
      </w:r>
    </w:p>
    <w:p w14:paraId="60123794" w14:textId="3C8ED1B0" w:rsidR="004000E8" w:rsidRDefault="00230D18" w:rsidP="00CE0424">
      <w:pPr>
        <w:pStyle w:val="Heading1"/>
      </w:pPr>
      <w:bookmarkStart w:id="0" w:name="_Ref178064866"/>
      <w:r>
        <w:t>2</w:t>
      </w:r>
      <w:r>
        <w:tab/>
      </w:r>
      <w:r w:rsidR="004000E8" w:rsidRPr="00CE0424">
        <w:t>Discussion</w:t>
      </w:r>
      <w:bookmarkEnd w:id="0"/>
    </w:p>
    <w:p w14:paraId="62D37658" w14:textId="03F7EC53" w:rsidR="00156561" w:rsidRDefault="00156561" w:rsidP="00156561">
      <w:pPr>
        <w:pStyle w:val="Heading2"/>
        <w:rPr>
          <w:rFonts w:eastAsia="Malgun Gothic"/>
        </w:rPr>
      </w:pPr>
      <w:r>
        <w:rPr>
          <w:rFonts w:eastAsia="Malgun Gothic"/>
        </w:rPr>
        <w:t>2.1 Need for UE capability for support of DCI format 1_1 and 1_</w:t>
      </w:r>
      <w:proofErr w:type="gramStart"/>
      <w:r>
        <w:rPr>
          <w:rFonts w:eastAsia="Malgun Gothic"/>
        </w:rPr>
        <w:t>2</w:t>
      </w:r>
      <w:proofErr w:type="gramEnd"/>
    </w:p>
    <w:p w14:paraId="26A5D414" w14:textId="7268359A" w:rsidR="009A1C1A" w:rsidRDefault="00B41F28" w:rsidP="00B41F28">
      <w:pPr>
        <w:rPr>
          <w:rFonts w:eastAsia="Malgun Gothic"/>
          <w:lang w:val="en-GB" w:eastAsia="ko-KR"/>
        </w:rPr>
      </w:pPr>
      <w:r>
        <w:rPr>
          <w:rFonts w:eastAsia="Malgun Gothic"/>
          <w:lang w:val="en-GB" w:eastAsia="ko-KR"/>
        </w:rPr>
        <w:t xml:space="preserve">Regarding </w:t>
      </w:r>
      <w:r w:rsidR="009A1C1A">
        <w:rPr>
          <w:rFonts w:eastAsia="Malgun Gothic"/>
          <w:lang w:val="en-GB" w:eastAsia="ko-KR"/>
        </w:rPr>
        <w:t xml:space="preserve">whether UE capability is needed for </w:t>
      </w:r>
      <w:r>
        <w:rPr>
          <w:rFonts w:eastAsia="Malgun Gothic"/>
          <w:lang w:val="en-GB" w:eastAsia="ko-KR"/>
        </w:rPr>
        <w:t xml:space="preserve">support </w:t>
      </w:r>
      <w:r w:rsidR="009A1C1A">
        <w:rPr>
          <w:rFonts w:eastAsia="Malgun Gothic"/>
          <w:lang w:val="en-GB" w:eastAsia="ko-KR"/>
        </w:rPr>
        <w:t xml:space="preserve">of </w:t>
      </w:r>
      <w:r>
        <w:rPr>
          <w:rFonts w:eastAsia="Malgun Gothic"/>
          <w:lang w:val="en-GB" w:eastAsia="ko-KR"/>
        </w:rPr>
        <w:t xml:space="preserve">DCI 1_1 and 1_2 triggering for aperiodic SRS carrier switching, </w:t>
      </w:r>
      <w:r w:rsidR="009A1C1A">
        <w:rPr>
          <w:rFonts w:eastAsia="Malgun Gothic"/>
          <w:lang w:val="en-GB" w:eastAsia="ko-KR"/>
        </w:rPr>
        <w:t xml:space="preserve">in the agreement below from RAN1#114, Alt 1 had </w:t>
      </w:r>
      <w:r w:rsidR="00931134">
        <w:rPr>
          <w:rFonts w:eastAsia="Malgun Gothic"/>
          <w:lang w:val="en-GB" w:eastAsia="ko-KR"/>
        </w:rPr>
        <w:t xml:space="preserve">near-unanimous </w:t>
      </w:r>
      <w:r w:rsidR="009A1C1A">
        <w:rPr>
          <w:rFonts w:eastAsia="Malgun Gothic"/>
          <w:lang w:val="en-GB" w:eastAsia="ko-KR"/>
        </w:rPr>
        <w:t xml:space="preserve">support, </w:t>
      </w:r>
      <w:r w:rsidR="00EC1558">
        <w:rPr>
          <w:rFonts w:eastAsia="Malgun Gothic"/>
          <w:lang w:val="en-GB" w:eastAsia="ko-KR"/>
        </w:rPr>
        <w:t xml:space="preserve">however one company had </w:t>
      </w:r>
      <w:proofErr w:type="gramStart"/>
      <w:r w:rsidR="00EC1558">
        <w:rPr>
          <w:rFonts w:eastAsia="Malgun Gothic"/>
          <w:lang w:val="en-GB" w:eastAsia="ko-KR"/>
        </w:rPr>
        <w:t>concerns</w:t>
      </w:r>
      <w:proofErr w:type="gramEnd"/>
      <w:r w:rsidR="00EC1558">
        <w:rPr>
          <w:rFonts w:eastAsia="Malgun Gothic"/>
          <w:lang w:val="en-GB" w:eastAsia="ko-KR"/>
        </w:rPr>
        <w:t xml:space="preserve"> </w:t>
      </w:r>
      <w:r w:rsidR="00481CC3">
        <w:rPr>
          <w:rFonts w:eastAsia="Malgun Gothic"/>
          <w:lang w:val="en-GB" w:eastAsia="ko-KR"/>
        </w:rPr>
        <w:t>that</w:t>
      </w:r>
      <w:r w:rsidR="00EC1558">
        <w:rPr>
          <w:rFonts w:eastAsia="Malgun Gothic"/>
          <w:lang w:val="en-GB" w:eastAsia="ko-KR"/>
        </w:rPr>
        <w:t xml:space="preserve"> two DL DCIs or DCI 2_3 and a DL DCI could overlap in time</w:t>
      </w:r>
      <w:r w:rsidR="00481CC3">
        <w:rPr>
          <w:rFonts w:eastAsia="Malgun Gothic"/>
          <w:lang w:val="en-GB" w:eastAsia="ko-KR"/>
        </w:rPr>
        <w:t>, which</w:t>
      </w:r>
      <w:r w:rsidR="00931134">
        <w:rPr>
          <w:rFonts w:eastAsia="Malgun Gothic"/>
          <w:lang w:val="en-GB" w:eastAsia="ko-KR"/>
        </w:rPr>
        <w:t xml:space="preserve"> may lead to the need for a new UE capability</w:t>
      </w:r>
      <w:r w:rsidR="00EC1558">
        <w:rPr>
          <w:rFonts w:eastAsia="Malgun Gothic"/>
          <w:lang w:val="en-GB" w:eastAsia="ko-KR"/>
        </w:rPr>
        <w:t>.</w:t>
      </w:r>
      <w:r w:rsidR="009A1C1A">
        <w:rPr>
          <w:rFonts w:eastAsia="Malgun Gothic"/>
          <w:lang w:val="en-GB" w:eastAsia="ko-KR"/>
        </w:rPr>
        <w:t xml:space="preserve"> </w:t>
      </w:r>
      <w:r w:rsidR="00EC1558">
        <w:rPr>
          <w:rFonts w:eastAsia="Malgun Gothic"/>
          <w:lang w:val="en-GB" w:eastAsia="ko-KR"/>
        </w:rPr>
        <w:t xml:space="preserve"> Th</w:t>
      </w:r>
      <w:r w:rsidR="006C2C26">
        <w:rPr>
          <w:rFonts w:eastAsia="Malgun Gothic"/>
          <w:lang w:val="en-GB" w:eastAsia="ko-KR"/>
        </w:rPr>
        <w:t>ese</w:t>
      </w:r>
      <w:r w:rsidR="00EC1558">
        <w:rPr>
          <w:rFonts w:eastAsia="Malgun Gothic"/>
          <w:lang w:val="en-GB" w:eastAsia="ko-KR"/>
        </w:rPr>
        <w:t xml:space="preserve"> concern</w:t>
      </w:r>
      <w:r w:rsidR="006C2C26">
        <w:rPr>
          <w:rFonts w:eastAsia="Malgun Gothic"/>
          <w:lang w:val="en-GB" w:eastAsia="ko-KR"/>
        </w:rPr>
        <w:t xml:space="preserve">s </w:t>
      </w:r>
      <w:r w:rsidR="003F1065">
        <w:rPr>
          <w:rFonts w:eastAsia="Malgun Gothic"/>
          <w:lang w:val="en-GB" w:eastAsia="ko-KR"/>
        </w:rPr>
        <w:t xml:space="preserve">needed to be addressed before resolving the UE capability issue, and so this aspect was left for further discussion in RAN1#115, with </w:t>
      </w:r>
      <w:r w:rsidR="006C2C26">
        <w:rPr>
          <w:rFonts w:eastAsia="Malgun Gothic"/>
          <w:lang w:val="en-GB" w:eastAsia="ko-KR"/>
        </w:rPr>
        <w:t xml:space="preserve">Proposal #1 below from </w:t>
      </w:r>
      <w:r w:rsidR="003F1065">
        <w:rPr>
          <w:rFonts w:eastAsia="Malgun Gothic"/>
          <w:lang w:val="en-GB" w:eastAsia="ko-KR"/>
        </w:rPr>
        <w:fldChar w:fldCharType="begin"/>
      </w:r>
      <w:r w:rsidR="003F1065">
        <w:rPr>
          <w:rFonts w:eastAsia="Malgun Gothic"/>
          <w:lang w:val="en-GB" w:eastAsia="ko-KR"/>
        </w:rPr>
        <w:instrText xml:space="preserve"> REF _Ref146564676 \r \h </w:instrText>
      </w:r>
      <w:r w:rsidR="003F1065">
        <w:rPr>
          <w:rFonts w:eastAsia="Malgun Gothic"/>
          <w:lang w:val="en-GB" w:eastAsia="ko-KR"/>
        </w:rPr>
      </w:r>
      <w:r w:rsidR="003F1065">
        <w:rPr>
          <w:rFonts w:eastAsia="Malgun Gothic"/>
          <w:lang w:val="en-GB" w:eastAsia="ko-KR"/>
        </w:rPr>
        <w:fldChar w:fldCharType="separate"/>
      </w:r>
      <w:r w:rsidR="003F1065">
        <w:rPr>
          <w:rFonts w:eastAsia="Malgun Gothic"/>
          <w:lang w:val="en-GB" w:eastAsia="ko-KR"/>
        </w:rPr>
        <w:t>[2]</w:t>
      </w:r>
      <w:r w:rsidR="003F1065">
        <w:rPr>
          <w:rFonts w:eastAsia="Malgun Gothic"/>
          <w:lang w:val="en-GB" w:eastAsia="ko-KR"/>
        </w:rPr>
        <w:fldChar w:fldCharType="end"/>
      </w:r>
      <w:r w:rsidR="003F1065">
        <w:rPr>
          <w:rFonts w:eastAsia="Malgun Gothic"/>
          <w:lang w:val="en-GB" w:eastAsia="ko-KR"/>
        </w:rPr>
        <w:t xml:space="preserve"> as a suggested starting point.</w:t>
      </w:r>
    </w:p>
    <w:tbl>
      <w:tblPr>
        <w:tblStyle w:val="TableGrid"/>
        <w:tblW w:w="0" w:type="auto"/>
        <w:tblLook w:val="04A0" w:firstRow="1" w:lastRow="0" w:firstColumn="1" w:lastColumn="0" w:noHBand="0" w:noVBand="1"/>
      </w:tblPr>
      <w:tblGrid>
        <w:gridCol w:w="9629"/>
      </w:tblGrid>
      <w:tr w:rsidR="00F0268F" w14:paraId="19838A26" w14:textId="77777777" w:rsidTr="00F0268F">
        <w:tc>
          <w:tcPr>
            <w:tcW w:w="9629" w:type="dxa"/>
          </w:tcPr>
          <w:p w14:paraId="6657A4BA" w14:textId="77777777" w:rsidR="00F0268F" w:rsidRPr="0022577C" w:rsidRDefault="00F0268F" w:rsidP="001D320A">
            <w:pPr>
              <w:spacing w:after="0" w:line="240" w:lineRule="auto"/>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r>
              <w:rPr>
                <w:rFonts w:ascii="Times" w:eastAsia="Batang" w:hAnsi="Times" w:cs="Times New Roman"/>
                <w:b/>
                <w:bCs/>
                <w:szCs w:val="24"/>
                <w:highlight w:val="green"/>
                <w:lang w:val="en-GB" w:eastAsia="x-none"/>
              </w:rPr>
              <w:t xml:space="preserve"> (RAN1#114)</w:t>
            </w:r>
          </w:p>
          <w:p w14:paraId="4B575401" w14:textId="77777777" w:rsidR="00F0268F" w:rsidRPr="0022577C" w:rsidRDefault="00F0268F" w:rsidP="001D320A">
            <w:pPr>
              <w:spacing w:after="0" w:line="240" w:lineRule="auto"/>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alternatives in RAN1#114bis:</w:t>
            </w:r>
          </w:p>
          <w:p w14:paraId="703E7B6F" w14:textId="77777777" w:rsidR="00F0268F" w:rsidRPr="0022577C" w:rsidRDefault="00F0268F" w:rsidP="001D320A">
            <w:pPr>
              <w:numPr>
                <w:ilvl w:val="0"/>
                <w:numId w:val="23"/>
              </w:numPr>
              <w:spacing w:after="0" w:line="240" w:lineRule="auto"/>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 xml:space="preserve">_2 triggering </w:t>
            </w:r>
            <w:proofErr w:type="gramStart"/>
            <w:r w:rsidRPr="0022577C">
              <w:rPr>
                <w:rFonts w:ascii="Times" w:eastAsia="Malgun Gothic" w:hAnsi="Times" w:cs="Arial"/>
                <w:szCs w:val="24"/>
                <w:lang w:val="en-GB" w:eastAsia="ko-KR"/>
              </w:rPr>
              <w:t>are</w:t>
            </w:r>
            <w:proofErr w:type="gramEnd"/>
            <w:r w:rsidRPr="0022577C">
              <w:rPr>
                <w:rFonts w:ascii="Times" w:eastAsia="Malgun Gothic" w:hAnsi="Times" w:cs="Arial"/>
                <w:szCs w:val="24"/>
                <w:lang w:val="en-GB" w:eastAsia="ko-KR"/>
              </w:rPr>
              <w:t xml:space="preserve"> supported for aperiodic SRS carrier switching in Rel-15</w:t>
            </w:r>
          </w:p>
          <w:p w14:paraId="28123FB2" w14:textId="77777777" w:rsidR="00F0268F" w:rsidRPr="0022577C" w:rsidRDefault="00F0268F" w:rsidP="001D320A">
            <w:pPr>
              <w:numPr>
                <w:ilvl w:val="0"/>
                <w:numId w:val="23"/>
              </w:numPr>
              <w:spacing w:after="0" w:line="240" w:lineRule="auto"/>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5F225891" w14:textId="77777777" w:rsidR="00F0268F" w:rsidRDefault="00F0268F" w:rsidP="001D320A">
            <w:pPr>
              <w:pStyle w:val="BodyText"/>
            </w:pPr>
          </w:p>
          <w:p w14:paraId="43ACA8C3" w14:textId="77777777" w:rsidR="00F0268F" w:rsidRPr="00EC1558" w:rsidRDefault="00F0268F" w:rsidP="001D320A">
            <w:pPr>
              <w:spacing w:after="0" w:line="240" w:lineRule="auto"/>
              <w:rPr>
                <w:rFonts w:ascii="Calibri" w:hAnsi="Calibri" w:cs="Calibri"/>
                <w:b/>
                <w:bCs/>
                <w:u w:val="single"/>
                <w:lang w:val="en-GB" w:eastAsia="ja-JP"/>
              </w:rPr>
            </w:pPr>
            <w:r w:rsidRPr="00EC1558">
              <w:rPr>
                <w:rFonts w:ascii="Calibri" w:hAnsi="Calibri" w:cs="Calibri"/>
                <w:b/>
                <w:bCs/>
                <w:u w:val="single"/>
                <w:lang w:val="en-GB" w:eastAsia="ja-JP"/>
              </w:rPr>
              <w:t>Proposal #1:</w:t>
            </w:r>
            <w:r>
              <w:rPr>
                <w:rFonts w:ascii="Calibri" w:hAnsi="Calibri" w:cs="Calibri"/>
                <w:b/>
                <w:bCs/>
                <w:u w:val="single"/>
                <w:lang w:val="en-GB" w:eastAsia="ja-JP"/>
              </w:rPr>
              <w:t xml:space="preserve"> (RAN1#114bis)</w:t>
            </w:r>
          </w:p>
          <w:p w14:paraId="51D324DE" w14:textId="77777777" w:rsidR="00F0268F" w:rsidRPr="00EC1558" w:rsidRDefault="00F0268F" w:rsidP="001D320A">
            <w:pPr>
              <w:spacing w:after="0" w:line="240" w:lineRule="auto"/>
              <w:rPr>
                <w:rFonts w:ascii="Calibri" w:hAnsi="Calibri" w:cs="Calibri"/>
                <w:lang w:val="en-GB" w:eastAsia="ja-JP"/>
              </w:rPr>
            </w:pPr>
            <w:r w:rsidRPr="00EC1558">
              <w:rPr>
                <w:rFonts w:ascii="Calibri" w:hAnsi="Calibri" w:cs="Calibri"/>
                <w:lang w:val="en-GB" w:eastAsia="ja-JP"/>
              </w:rPr>
              <w:t xml:space="preserve">In RAN1#115, further discuss introducing two new UE features, </w:t>
            </w:r>
            <w:proofErr w:type="gramStart"/>
            <w:r w:rsidRPr="00EC1558">
              <w:rPr>
                <w:rFonts w:ascii="Calibri" w:hAnsi="Calibri" w:cs="Calibri"/>
                <w:lang w:val="en-GB" w:eastAsia="ja-JP"/>
              </w:rPr>
              <w:t>addressing</w:t>
            </w:r>
            <w:proofErr w:type="gramEnd"/>
          </w:p>
          <w:p w14:paraId="2C3A454C" w14:textId="77777777" w:rsidR="00F0268F" w:rsidRPr="00EC1558" w:rsidRDefault="00F0268F" w:rsidP="001D320A">
            <w:pPr>
              <w:numPr>
                <w:ilvl w:val="0"/>
                <w:numId w:val="24"/>
              </w:numPr>
              <w:spacing w:after="0" w:line="240" w:lineRule="auto"/>
              <w:rPr>
                <w:rFonts w:ascii="Calibri" w:eastAsia="Calibri" w:hAnsi="Calibri"/>
                <w:lang w:val="en-GB" w:eastAsia="ja-JP"/>
              </w:rPr>
            </w:pPr>
            <w:r w:rsidRPr="00EC1558">
              <w:rPr>
                <w:rFonts w:ascii="Calibri" w:eastAsia="Calibri" w:hAnsi="Calibri"/>
                <w:lang w:val="en-GB" w:eastAsia="ja-JP"/>
              </w:rPr>
              <w:lastRenderedPageBreak/>
              <w:t>SRS carrier switching where the UE is configured such that it may be triggered for switching by DCI format 2_3 only or both of DCI formats 2_3 and 1_1/1_2.</w:t>
            </w:r>
          </w:p>
          <w:p w14:paraId="30968546" w14:textId="68EC59BB" w:rsidR="00F0268F" w:rsidRPr="00F0268F" w:rsidRDefault="00F0268F" w:rsidP="001D320A">
            <w:pPr>
              <w:numPr>
                <w:ilvl w:val="0"/>
                <w:numId w:val="24"/>
              </w:numPr>
              <w:spacing w:after="0" w:line="240" w:lineRule="auto"/>
              <w:rPr>
                <w:rFonts w:ascii="Calibri" w:eastAsia="Calibri" w:hAnsi="Calibri"/>
                <w:lang w:val="en-GB" w:eastAsia="ja-JP"/>
              </w:rPr>
            </w:pPr>
            <w:r w:rsidRPr="00EC1558">
              <w:rPr>
                <w:rFonts w:ascii="Calibri" w:eastAsia="Calibri" w:hAnsi="Calibri"/>
                <w:lang w:val="en-GB" w:eastAsia="ja-JP"/>
              </w:rPr>
              <w:t>SRS carrier switches triggered by multiple DCI format 1_1/1_2 PDCCHs</w:t>
            </w:r>
          </w:p>
        </w:tc>
      </w:tr>
    </w:tbl>
    <w:p w14:paraId="3C56523C" w14:textId="77777777" w:rsidR="00EC1558" w:rsidRPr="00EC1558" w:rsidRDefault="00EC1558" w:rsidP="00EC1558">
      <w:pPr>
        <w:spacing w:after="0" w:line="240" w:lineRule="auto"/>
        <w:rPr>
          <w:rFonts w:ascii="Calibri" w:hAnsi="Calibri" w:cs="Calibri"/>
          <w:b/>
          <w:bCs/>
          <w:sz w:val="22"/>
          <w:u w:val="single"/>
          <w:lang w:val="en-GB" w:eastAsia="ja-JP"/>
        </w:rPr>
      </w:pPr>
    </w:p>
    <w:p w14:paraId="63D7E712" w14:textId="77777777" w:rsidR="001F58E8" w:rsidRDefault="001F58E8" w:rsidP="001F58E8">
      <w:pPr>
        <w:pStyle w:val="BodyText"/>
        <w:rPr>
          <w:b/>
          <w:bCs/>
          <w:u w:val="single"/>
        </w:rPr>
      </w:pPr>
    </w:p>
    <w:p w14:paraId="7CA24F76" w14:textId="4B1350AA" w:rsidR="001F58E8" w:rsidRPr="001F58E8" w:rsidRDefault="001F58E8" w:rsidP="00D635D5">
      <w:pPr>
        <w:pStyle w:val="BodyText"/>
        <w:spacing w:after="0"/>
        <w:jc w:val="left"/>
        <w:rPr>
          <w:b/>
          <w:bCs/>
          <w:u w:val="single"/>
        </w:rPr>
      </w:pPr>
      <w:r w:rsidRPr="001F58E8">
        <w:rPr>
          <w:b/>
          <w:bCs/>
          <w:u w:val="single"/>
        </w:rPr>
        <w:t xml:space="preserve">Observation </w:t>
      </w:r>
      <w:r w:rsidR="00F27C39">
        <w:rPr>
          <w:b/>
          <w:bCs/>
          <w:u w:val="single"/>
        </w:rPr>
        <w:t>2.1.</w:t>
      </w:r>
      <w:r w:rsidRPr="001F58E8">
        <w:rPr>
          <w:b/>
          <w:bCs/>
          <w:u w:val="single"/>
        </w:rPr>
        <w:t>1:</w:t>
      </w:r>
    </w:p>
    <w:p w14:paraId="79CF6450" w14:textId="77777777" w:rsidR="001F58E8" w:rsidRDefault="001F58E8" w:rsidP="001F58E8">
      <w:pPr>
        <w:pStyle w:val="BodyText"/>
        <w:numPr>
          <w:ilvl w:val="0"/>
          <w:numId w:val="26"/>
        </w:numPr>
      </w:pPr>
      <w:r>
        <w:t xml:space="preserve">There is consensus in RAN1 that </w:t>
      </w:r>
      <w:r w:rsidRPr="007A456E">
        <w:t xml:space="preserve">DCI 1_1 and 1_2 triggering </w:t>
      </w:r>
      <w:proofErr w:type="gramStart"/>
      <w:r w:rsidRPr="007A456E">
        <w:t>are</w:t>
      </w:r>
      <w:proofErr w:type="gramEnd"/>
      <w:r w:rsidRPr="007A456E">
        <w:t xml:space="preserve"> supported for aperiodic SRS carrier switching</w:t>
      </w:r>
      <w:r>
        <w:t xml:space="preserve">, but one UE vendor may need additional UE capabilities when triggered by </w:t>
      </w:r>
      <w:r w:rsidRPr="007A456E">
        <w:t>multiple DCI format 1_1/1_2 PDCCHs</w:t>
      </w:r>
      <w:r>
        <w:t xml:space="preserve"> or by DCI 2_3 in addition to DCI format 1_1/1_2.</w:t>
      </w:r>
    </w:p>
    <w:p w14:paraId="6D51D804" w14:textId="3F9AB21C" w:rsidR="0090139E" w:rsidRDefault="0090139E" w:rsidP="009A1C1A">
      <w:pPr>
        <w:pStyle w:val="BodyText"/>
      </w:pPr>
    </w:p>
    <w:p w14:paraId="2CAFAA66" w14:textId="2A7E54E4" w:rsidR="004D36D4" w:rsidRDefault="004D36D4" w:rsidP="009A1C1A">
      <w:pPr>
        <w:pStyle w:val="BodyText"/>
      </w:pPr>
      <w:r>
        <w:t xml:space="preserve">An intermediate proposal was discussed in RAN1#114bis </w:t>
      </w:r>
      <w:r>
        <w:fldChar w:fldCharType="begin"/>
      </w:r>
      <w:r>
        <w:instrText xml:space="preserve"> REF _Ref146564676 \r \h </w:instrText>
      </w:r>
      <w:r>
        <w:fldChar w:fldCharType="separate"/>
      </w:r>
      <w:r>
        <w:t>[2]</w:t>
      </w:r>
      <w:r>
        <w:fldChar w:fldCharType="end"/>
      </w:r>
      <w:r>
        <w:t xml:space="preserve"> that addresses the concerns above by add</w:t>
      </w:r>
      <w:r w:rsidR="00481CC3">
        <w:t>ing</w:t>
      </w:r>
      <w:r>
        <w:t xml:space="preserve"> the text in square brackets (highlighted below):</w:t>
      </w:r>
    </w:p>
    <w:tbl>
      <w:tblPr>
        <w:tblStyle w:val="TableGrid"/>
        <w:tblW w:w="0" w:type="auto"/>
        <w:tblLook w:val="04A0" w:firstRow="1" w:lastRow="0" w:firstColumn="1" w:lastColumn="0" w:noHBand="0" w:noVBand="1"/>
      </w:tblPr>
      <w:tblGrid>
        <w:gridCol w:w="9629"/>
      </w:tblGrid>
      <w:tr w:rsidR="001D320A" w14:paraId="74CECA11" w14:textId="77777777" w:rsidTr="001D320A">
        <w:tc>
          <w:tcPr>
            <w:tcW w:w="9629" w:type="dxa"/>
          </w:tcPr>
          <w:p w14:paraId="6F2D49B5" w14:textId="6A847DD2" w:rsidR="001D320A" w:rsidRPr="004D36D4" w:rsidRDefault="001D320A" w:rsidP="001D320A">
            <w:pPr>
              <w:spacing w:after="0" w:line="240" w:lineRule="auto"/>
              <w:rPr>
                <w:rFonts w:ascii="Calibri" w:hAnsi="Calibri" w:cs="Calibri"/>
                <w:b/>
                <w:bCs/>
                <w:u w:val="single"/>
                <w:lang w:val="en-GB" w:eastAsia="ja-JP"/>
              </w:rPr>
            </w:pPr>
            <w:r w:rsidRPr="004D36D4">
              <w:rPr>
                <w:rFonts w:ascii="Calibri" w:hAnsi="Calibri" w:cs="Calibri"/>
                <w:b/>
                <w:bCs/>
                <w:u w:val="single"/>
                <w:lang w:val="en-GB" w:eastAsia="ja-JP"/>
              </w:rPr>
              <w:t>Proposal</w:t>
            </w:r>
            <w:r w:rsidR="009706B4">
              <w:rPr>
                <w:rFonts w:ascii="Calibri" w:hAnsi="Calibri" w:cs="Calibri"/>
                <w:b/>
                <w:bCs/>
                <w:u w:val="single"/>
                <w:lang w:val="en-GB" w:eastAsia="ja-JP"/>
              </w:rPr>
              <w:t xml:space="preserve"> (RAN1#114bis)</w:t>
            </w:r>
            <w:r w:rsidRPr="004D36D4">
              <w:rPr>
                <w:rFonts w:ascii="Calibri" w:hAnsi="Calibri" w:cs="Calibri"/>
                <w:b/>
                <w:bCs/>
                <w:u w:val="single"/>
                <w:lang w:val="en-GB" w:eastAsia="ja-JP"/>
              </w:rPr>
              <w:t>:</w:t>
            </w:r>
          </w:p>
          <w:p w14:paraId="37718E54" w14:textId="77777777" w:rsidR="001D320A" w:rsidRPr="004D36D4" w:rsidRDefault="001D320A" w:rsidP="001D320A">
            <w:pPr>
              <w:spacing w:after="0" w:line="240" w:lineRule="auto"/>
              <w:rPr>
                <w:rFonts w:asciiTheme="minorHAnsi" w:hAnsiTheme="minorHAnsi" w:cstheme="minorHAnsi"/>
                <w:b/>
                <w:bCs/>
                <w:lang w:val="en-GB" w:eastAsia="ja-JP"/>
              </w:rPr>
            </w:pPr>
            <w:r w:rsidRPr="004D36D4">
              <w:rPr>
                <w:rFonts w:asciiTheme="minorHAnsi" w:hAnsiTheme="minorHAnsi" w:cstheme="minorHAnsi"/>
                <w:b/>
                <w:bCs/>
                <w:lang w:val="en-GB" w:eastAsia="ja-JP"/>
              </w:rPr>
              <w:t>Alt 1 from RAN#114,</w:t>
            </w:r>
            <w:r w:rsidRPr="004D36D4">
              <w:rPr>
                <w:rFonts w:asciiTheme="minorHAnsi" w:hAnsiTheme="minorHAnsi" w:cstheme="minorHAnsi"/>
                <w:b/>
                <w:bCs/>
                <w:u w:val="single"/>
                <w:lang w:val="en-GB" w:eastAsia="ja-JP"/>
              </w:rPr>
              <w:t xml:space="preserve"> </w:t>
            </w:r>
            <w:r w:rsidRPr="004D36D4">
              <w:rPr>
                <w:rFonts w:asciiTheme="minorHAnsi" w:hAnsiTheme="minorHAnsi" w:cstheme="minorHAnsi"/>
                <w:b/>
                <w:bCs/>
                <w:lang w:val="en-GB" w:eastAsia="ja-JP"/>
              </w:rPr>
              <w:t xml:space="preserve">“RAN1 concludes that DCI 1_1 and 1_2 triggering are supported, </w:t>
            </w:r>
            <w:r w:rsidRPr="004D36D4">
              <w:rPr>
                <w:rFonts w:asciiTheme="minorHAnsi" w:hAnsiTheme="minorHAnsi" w:cstheme="minorHAnsi"/>
                <w:b/>
                <w:bCs/>
                <w:color w:val="FF0000"/>
                <w:u w:val="single"/>
                <w:lang w:val="en-GB" w:eastAsia="ja-JP"/>
              </w:rPr>
              <w:t>subject to existing UE capabilities,</w:t>
            </w:r>
            <w:r w:rsidRPr="004D36D4">
              <w:rPr>
                <w:rFonts w:asciiTheme="minorHAnsi" w:hAnsiTheme="minorHAnsi" w:cstheme="minorHAnsi"/>
                <w:b/>
                <w:bCs/>
                <w:color w:val="FF0000"/>
                <w:lang w:val="en-GB" w:eastAsia="ja-JP"/>
              </w:rPr>
              <w:t xml:space="preserve"> </w:t>
            </w:r>
            <w:r w:rsidRPr="004D36D4">
              <w:rPr>
                <w:rFonts w:asciiTheme="minorHAnsi" w:hAnsiTheme="minorHAnsi" w:cstheme="minorHAnsi"/>
                <w:b/>
                <w:bCs/>
                <w:lang w:val="en-GB" w:eastAsia="ja-JP"/>
              </w:rPr>
              <w:t xml:space="preserve">for aperiodic SRS carrier switching in Rel-15” is agreed as </w:t>
            </w:r>
            <w:r w:rsidRPr="004D36D4">
              <w:rPr>
                <w:rFonts w:asciiTheme="minorHAnsi" w:hAnsiTheme="minorHAnsi" w:cstheme="minorHAnsi"/>
                <w:b/>
                <w:bCs/>
                <w:color w:val="FF0000"/>
                <w:u w:val="single"/>
                <w:lang w:val="en-GB" w:eastAsia="ja-JP"/>
              </w:rPr>
              <w:t>updated</w:t>
            </w:r>
            <w:r w:rsidRPr="004D36D4">
              <w:rPr>
                <w:rFonts w:asciiTheme="minorHAnsi" w:hAnsiTheme="minorHAnsi" w:cstheme="minorHAnsi"/>
                <w:b/>
                <w:bCs/>
                <w:lang w:val="en-GB" w:eastAsia="ja-JP"/>
              </w:rPr>
              <w:t xml:space="preserve">, and no new UE capability is defined for the support of DCI 1_1 and 1_2 triggering for aperiodic SRS carrier switching </w:t>
            </w:r>
            <w:r w:rsidRPr="004D36D4">
              <w:rPr>
                <w:rFonts w:asciiTheme="minorHAnsi" w:hAnsiTheme="minorHAnsi" w:cstheme="minorHAnsi"/>
                <w:b/>
                <w:bCs/>
                <w:highlight w:val="yellow"/>
                <w:lang w:val="en-GB" w:eastAsia="ja-JP"/>
              </w:rPr>
              <w:t>[in the case where DCI 2_3 is not configured and only one uplink carrier is configured with SRS carrier switching]</w:t>
            </w:r>
            <w:r w:rsidRPr="004D36D4">
              <w:rPr>
                <w:rFonts w:asciiTheme="minorHAnsi" w:hAnsiTheme="minorHAnsi" w:cstheme="minorHAnsi"/>
                <w:b/>
                <w:bCs/>
                <w:lang w:val="en-GB" w:eastAsia="ja-JP"/>
              </w:rPr>
              <w:t>.</w:t>
            </w:r>
          </w:p>
          <w:p w14:paraId="1522D840" w14:textId="38E2FE6A" w:rsidR="001D320A" w:rsidRPr="001D320A" w:rsidRDefault="001D320A" w:rsidP="009A1C1A">
            <w:pPr>
              <w:pStyle w:val="ListParagraph"/>
              <w:numPr>
                <w:ilvl w:val="0"/>
                <w:numId w:val="26"/>
              </w:numPr>
              <w:spacing w:after="120"/>
              <w:jc w:val="both"/>
              <w:rPr>
                <w:rFonts w:asciiTheme="minorHAnsi" w:hAnsiTheme="minorHAnsi" w:cstheme="minorHAnsi"/>
                <w:b/>
                <w:bCs/>
                <w:lang w:val="en-GB" w:eastAsia="ja-JP"/>
              </w:rPr>
            </w:pPr>
            <w:r w:rsidRPr="001D320A">
              <w:rPr>
                <w:rFonts w:asciiTheme="minorHAnsi" w:hAnsiTheme="minorHAnsi" w:cstheme="minorHAnsi"/>
                <w:b/>
                <w:bCs/>
                <w:lang w:val="en-GB" w:eastAsia="ja-JP"/>
              </w:rPr>
              <w:t>Further discuss the case where DCI 2_3 and one uplink carrier is configured with SRS carrier switching</w:t>
            </w:r>
          </w:p>
        </w:tc>
      </w:tr>
    </w:tbl>
    <w:p w14:paraId="1EF9DA41" w14:textId="77777777" w:rsidR="001D320A" w:rsidRDefault="001D320A" w:rsidP="009A1C1A">
      <w:pPr>
        <w:pStyle w:val="BodyText"/>
      </w:pPr>
    </w:p>
    <w:p w14:paraId="730FCFC4" w14:textId="1247FFBC" w:rsidR="00931134" w:rsidRDefault="004D36D4" w:rsidP="009A1C1A">
      <w:pPr>
        <w:pStyle w:val="BodyText"/>
      </w:pPr>
      <w:r>
        <w:t>After further offline discussion, our understanding of the proponent’s intent is that the bracketed text should be clarified as “</w:t>
      </w:r>
      <w:r w:rsidRPr="004D36D4">
        <w:t xml:space="preserve">if a UE is configured by </w:t>
      </w:r>
      <w:r w:rsidRPr="004D36D4">
        <w:rPr>
          <w:i/>
          <w:iCs/>
        </w:rPr>
        <w:t>SRS-</w:t>
      </w:r>
      <w:proofErr w:type="spellStart"/>
      <w:r w:rsidRPr="004D36D4">
        <w:rPr>
          <w:i/>
          <w:iCs/>
        </w:rPr>
        <w:t>CarrierSwitching</w:t>
      </w:r>
      <w:proofErr w:type="spellEnd"/>
      <w:r w:rsidRPr="004D36D4">
        <w:t xml:space="preserve"> on only a carrier of one serving cell and is not configured with DCI format 2_3</w:t>
      </w:r>
      <w:r>
        <w:t xml:space="preserve">”.   Since it is in general desirable to minimize UE capabilities, </w:t>
      </w:r>
      <w:r w:rsidR="00A077F5">
        <w:t xml:space="preserve">as </w:t>
      </w:r>
      <w:r>
        <w:t xml:space="preserve">an alternative to defining two new UE features, one addressing DCI 2_3 and the other multiple DCI 1_1/1_2 triggers, a single UE feature capturing </w:t>
      </w:r>
      <w:r w:rsidR="00931134">
        <w:t xml:space="preserve">both aspects according to the clarified text could be defined. </w:t>
      </w:r>
    </w:p>
    <w:p w14:paraId="4BF17F46" w14:textId="0254DCEE" w:rsidR="00904BE5" w:rsidRDefault="0032612D" w:rsidP="009A1C1A">
      <w:pPr>
        <w:pStyle w:val="BodyText"/>
      </w:pPr>
      <w:r>
        <w:t xml:space="preserve">According to current UE capabilities, UEs that support SRS carrier switching must do so for any combination of DCI 1_1/1_2 triggers from multiple cells or with DCI format 2_3 that the UE can support SRS carrier switching upon.  Adding capability for UEs that support SRS carrier switching with constraints on how it can be configured can avoid the need </w:t>
      </w:r>
      <w:r w:rsidR="00A077F5">
        <w:t xml:space="preserve">for these UEs </w:t>
      </w:r>
      <w:r>
        <w:t xml:space="preserve">to under report support for SRS carrier switching, potentially enabling more UEs to support carrier switching.  </w:t>
      </w:r>
    </w:p>
    <w:p w14:paraId="10D23BF0" w14:textId="041785C4" w:rsidR="0032612D" w:rsidRPr="0032612D" w:rsidRDefault="0032612D" w:rsidP="00D635D5">
      <w:pPr>
        <w:pStyle w:val="BodyText"/>
        <w:spacing w:after="0"/>
        <w:jc w:val="left"/>
        <w:rPr>
          <w:b/>
          <w:bCs/>
          <w:u w:val="single"/>
        </w:rPr>
      </w:pPr>
      <w:r w:rsidRPr="0032612D">
        <w:rPr>
          <w:b/>
          <w:bCs/>
          <w:u w:val="single"/>
        </w:rPr>
        <w:t xml:space="preserve">Observation </w:t>
      </w:r>
      <w:r w:rsidR="00F27C39">
        <w:rPr>
          <w:b/>
          <w:bCs/>
          <w:u w:val="single"/>
        </w:rPr>
        <w:t>2.1.</w:t>
      </w:r>
      <w:r w:rsidRPr="0032612D">
        <w:rPr>
          <w:b/>
          <w:bCs/>
          <w:u w:val="single"/>
        </w:rPr>
        <w:t>2:</w:t>
      </w:r>
    </w:p>
    <w:p w14:paraId="5B9DF37D" w14:textId="038AA4C1" w:rsidR="0032612D" w:rsidRDefault="0032612D" w:rsidP="0032612D">
      <w:pPr>
        <w:pStyle w:val="BodyText"/>
        <w:numPr>
          <w:ilvl w:val="0"/>
          <w:numId w:val="26"/>
        </w:numPr>
      </w:pPr>
      <w:r>
        <w:t xml:space="preserve">Since DCI 1_1 &amp; 1_2 </w:t>
      </w:r>
      <w:proofErr w:type="gramStart"/>
      <w:r>
        <w:t>are</w:t>
      </w:r>
      <w:proofErr w:type="gramEnd"/>
      <w:r>
        <w:t xml:space="preserve"> supported for SRS carrier switching triggering, a</w:t>
      </w:r>
      <w:r w:rsidRPr="0032612D">
        <w:t>ccording to current UE capabilities, UEs that support SRS carrier switching must do so for any combination of DCI 1_1/1_2 triggers from multiple cells or with DCI format 2_3 that the UE can support SRS carrier switching upon.</w:t>
      </w:r>
    </w:p>
    <w:p w14:paraId="671727CD" w14:textId="69E835C7" w:rsidR="0032612D" w:rsidRDefault="0032612D" w:rsidP="0032612D">
      <w:pPr>
        <w:pStyle w:val="BodyText"/>
        <w:numPr>
          <w:ilvl w:val="1"/>
          <w:numId w:val="26"/>
        </w:numPr>
      </w:pPr>
      <w:r>
        <w:t xml:space="preserve">Adding </w:t>
      </w:r>
      <w:r w:rsidRPr="0032612D">
        <w:t xml:space="preserve">capability for UEs that support SRS carrier switching </w:t>
      </w:r>
      <w:r w:rsidR="002B4A0A">
        <w:t xml:space="preserve">only </w:t>
      </w:r>
      <w:r w:rsidRPr="0032612D">
        <w:t>with constrain</w:t>
      </w:r>
      <w:r>
        <w:t>ed</w:t>
      </w:r>
      <w:r w:rsidRPr="0032612D">
        <w:t xml:space="preserve"> configur</w:t>
      </w:r>
      <w:r>
        <w:t>ations</w:t>
      </w:r>
      <w:r w:rsidRPr="0032612D">
        <w:t xml:space="preserve"> </w:t>
      </w:r>
      <w:r>
        <w:t xml:space="preserve">could avoid the need for such UEs to </w:t>
      </w:r>
      <w:r w:rsidRPr="0032612D">
        <w:t>under report sup</w:t>
      </w:r>
      <w:r>
        <w:t>port for carrier switching.</w:t>
      </w:r>
    </w:p>
    <w:p w14:paraId="61FEAAD1" w14:textId="77777777" w:rsidR="002B4A0A" w:rsidRDefault="002B4A0A" w:rsidP="009A1C1A">
      <w:pPr>
        <w:pStyle w:val="BodyText"/>
      </w:pPr>
    </w:p>
    <w:p w14:paraId="13E3D61D" w14:textId="6ACB2F11" w:rsidR="00931134" w:rsidRDefault="00931134" w:rsidP="009A1C1A">
      <w:pPr>
        <w:pStyle w:val="BodyText"/>
      </w:pPr>
      <w:r>
        <w:t xml:space="preserve">We therefore suggest </w:t>
      </w:r>
      <w:proofErr w:type="gramStart"/>
      <w:r w:rsidR="00CB44D7">
        <w:t>to adopt</w:t>
      </w:r>
      <w:proofErr w:type="gramEnd"/>
      <w:r w:rsidR="00CB44D7">
        <w:t xml:space="preserve"> one of the </w:t>
      </w:r>
      <w:r>
        <w:t>following 3 alternatives</w:t>
      </w:r>
      <w:r w:rsidR="001B0939">
        <w:t>.  Our preference would be Alt 1.  However, if UE vendors require a UE capability, we would then prefer Alt 2, followed by Alt 3.</w:t>
      </w:r>
    </w:p>
    <w:p w14:paraId="0AC37849" w14:textId="15737105" w:rsidR="0090139E" w:rsidRPr="0090139E" w:rsidRDefault="0090139E" w:rsidP="00D635D5">
      <w:pPr>
        <w:pStyle w:val="BodyText"/>
        <w:spacing w:after="0"/>
        <w:jc w:val="left"/>
        <w:rPr>
          <w:b/>
          <w:bCs/>
          <w:u w:val="single"/>
        </w:rPr>
      </w:pPr>
      <w:r w:rsidRPr="0090139E">
        <w:rPr>
          <w:b/>
          <w:bCs/>
          <w:u w:val="single"/>
        </w:rPr>
        <w:t xml:space="preserve">Proposal </w:t>
      </w:r>
      <w:r w:rsidR="00F27C39">
        <w:rPr>
          <w:b/>
          <w:bCs/>
          <w:u w:val="single"/>
        </w:rPr>
        <w:t>2.1</w:t>
      </w:r>
      <w:r w:rsidRPr="0090139E">
        <w:rPr>
          <w:b/>
          <w:bCs/>
          <w:u w:val="single"/>
        </w:rPr>
        <w:t>:</w:t>
      </w:r>
    </w:p>
    <w:p w14:paraId="428A756A" w14:textId="2663013F" w:rsidR="0090139E" w:rsidRDefault="0090139E" w:rsidP="009A1C1A">
      <w:pPr>
        <w:pStyle w:val="BodyText"/>
      </w:pPr>
      <w:r>
        <w:t>Adopt one of the following alternatives</w:t>
      </w:r>
      <w:r w:rsidR="00CB44D7">
        <w:t xml:space="preserve"> for SRS carrier switching triggered by DCI 1_1/1_2</w:t>
      </w:r>
      <w:r>
        <w:t>:</w:t>
      </w:r>
    </w:p>
    <w:p w14:paraId="2C46CE8E" w14:textId="648D39B3" w:rsidR="0090139E" w:rsidRDefault="0090139E" w:rsidP="0090139E">
      <w:pPr>
        <w:pStyle w:val="BodyText"/>
        <w:numPr>
          <w:ilvl w:val="0"/>
          <w:numId w:val="25"/>
        </w:numPr>
      </w:pPr>
      <w:r>
        <w:t xml:space="preserve">Alt 1: </w:t>
      </w:r>
      <w:r w:rsidRPr="0090139E">
        <w:t xml:space="preserve">RAN1 concludes that DCI 1_1 and 1_2 triggering </w:t>
      </w:r>
      <w:proofErr w:type="gramStart"/>
      <w:r w:rsidRPr="0090139E">
        <w:t>are</w:t>
      </w:r>
      <w:proofErr w:type="gramEnd"/>
      <w:r w:rsidRPr="0090139E">
        <w:t xml:space="preserve"> supported, subject to existing UE capabilities, for aperiodic SRS carrier switching in Rel-15, and no new UE capability is defined for the support of DCI 1_1 and 1_2 triggering for aperiodic SRS carrier switching</w:t>
      </w:r>
    </w:p>
    <w:p w14:paraId="50784A65" w14:textId="04821579" w:rsidR="001B0939" w:rsidRDefault="001B0939" w:rsidP="001B0939">
      <w:pPr>
        <w:pStyle w:val="BodyText"/>
        <w:numPr>
          <w:ilvl w:val="0"/>
          <w:numId w:val="25"/>
        </w:numPr>
      </w:pPr>
      <w:r>
        <w:t xml:space="preserve">Alt 2: Define one Rel-17 UE capability where the UE supports SRS carrier switching triggered by DCI 1_1/1_2 for </w:t>
      </w:r>
      <w:r w:rsidRPr="00D847F0">
        <w:t xml:space="preserve">only a carrier of one serving cell and </w:t>
      </w:r>
      <w:r>
        <w:t>when</w:t>
      </w:r>
      <w:r w:rsidRPr="00D847F0">
        <w:t xml:space="preserve"> not configured with DCI format 2_3</w:t>
      </w:r>
      <w:r>
        <w:t>.</w:t>
      </w:r>
    </w:p>
    <w:p w14:paraId="4D8D816B" w14:textId="498F1B1B" w:rsidR="0090139E" w:rsidRDefault="0090139E" w:rsidP="0090139E">
      <w:pPr>
        <w:pStyle w:val="BodyText"/>
        <w:numPr>
          <w:ilvl w:val="0"/>
          <w:numId w:val="25"/>
        </w:numPr>
      </w:pPr>
      <w:r>
        <w:t xml:space="preserve">Alt </w:t>
      </w:r>
      <w:r w:rsidR="001B0939">
        <w:t>3</w:t>
      </w:r>
      <w:r>
        <w:t>: Define two</w:t>
      </w:r>
      <w:r w:rsidR="000626AB">
        <w:t xml:space="preserve"> Rel-17</w:t>
      </w:r>
      <w:r>
        <w:t xml:space="preserve"> UE capabilities:</w:t>
      </w:r>
    </w:p>
    <w:p w14:paraId="4382B9D2" w14:textId="77777777" w:rsidR="0090139E" w:rsidRDefault="0090139E" w:rsidP="0090139E">
      <w:pPr>
        <w:pStyle w:val="BodyText"/>
        <w:numPr>
          <w:ilvl w:val="1"/>
          <w:numId w:val="25"/>
        </w:numPr>
      </w:pPr>
      <w:r>
        <w:lastRenderedPageBreak/>
        <w:t xml:space="preserve">Capability #1: The UE supports SRS carrier switching triggered by DCI 1_1/1_2 for </w:t>
      </w:r>
      <w:r w:rsidRPr="00D847F0">
        <w:t>only a carrier of one serving cell</w:t>
      </w:r>
      <w:r>
        <w:t>.</w:t>
      </w:r>
      <w:r w:rsidRPr="00D847F0">
        <w:t xml:space="preserve"> </w:t>
      </w:r>
    </w:p>
    <w:p w14:paraId="3275E43F" w14:textId="408F9EFF" w:rsidR="00EC1558" w:rsidRDefault="0090139E" w:rsidP="0090139E">
      <w:pPr>
        <w:pStyle w:val="BodyText"/>
        <w:numPr>
          <w:ilvl w:val="1"/>
          <w:numId w:val="25"/>
        </w:numPr>
      </w:pPr>
      <w:r>
        <w:t>Capability #2: The UE supports SRS carrier switching triggered by DCI 1_1/1_2 when</w:t>
      </w:r>
      <w:r w:rsidRPr="00D847F0">
        <w:t xml:space="preserve"> not configured with DCI format 2_3</w:t>
      </w:r>
      <w:r>
        <w:t>.</w:t>
      </w:r>
    </w:p>
    <w:p w14:paraId="2EEE93C9" w14:textId="44F5EBDF" w:rsidR="00351F32" w:rsidRDefault="00351F32" w:rsidP="00B41F28">
      <w:pPr>
        <w:spacing w:after="0"/>
      </w:pPr>
    </w:p>
    <w:p w14:paraId="69CD101D" w14:textId="70597047" w:rsidR="00156561" w:rsidRDefault="00156561" w:rsidP="00156561">
      <w:pPr>
        <w:pStyle w:val="Heading2"/>
      </w:pPr>
      <w:r>
        <w:t>2.2 SRS configuration and transmission constraints</w:t>
      </w:r>
    </w:p>
    <w:p w14:paraId="2D4EF5A8" w14:textId="5138B38B" w:rsidR="005823B9" w:rsidRDefault="005823B9" w:rsidP="005823B9">
      <w:r>
        <w:t>Various proposals were discussed to clarify how SRS should be configured and the constraints on SRS transmission (</w:t>
      </w:r>
      <w:proofErr w:type="gramStart"/>
      <w:r>
        <w:t>e.g.</w:t>
      </w:r>
      <w:proofErr w:type="gramEnd"/>
      <w:r>
        <w:t xml:space="preserve"> on how many cells) in RAN1#114, leading up to Proposal #3 in </w:t>
      </w:r>
      <w:r>
        <w:fldChar w:fldCharType="begin"/>
      </w:r>
      <w:r>
        <w:instrText xml:space="preserve"> REF _Ref143818071 \r \h </w:instrText>
      </w:r>
      <w:r>
        <w:fldChar w:fldCharType="separate"/>
      </w:r>
      <w:r>
        <w:t>[2]</w:t>
      </w:r>
      <w:r>
        <w:fldChar w:fldCharType="end"/>
      </w:r>
      <w:r>
        <w:t xml:space="preserve">.  In this section, we further consider these aspects </w:t>
      </w:r>
      <w:r w:rsidR="004C1EED">
        <w:t xml:space="preserve">as well as how to solve problems that were </w:t>
      </w:r>
      <w:proofErr w:type="spellStart"/>
      <w:r w:rsidR="004C1EED">
        <w:t>identified</w:t>
      </w:r>
      <w:r w:rsidR="00E677FF">
        <w:t>d</w:t>
      </w:r>
      <w:proofErr w:type="spellEnd"/>
      <w:r>
        <w:t>.</w:t>
      </w:r>
    </w:p>
    <w:p w14:paraId="4F042023" w14:textId="07ED1BC5" w:rsidR="005823B9" w:rsidRPr="003E109E" w:rsidRDefault="005823B9" w:rsidP="003E109E">
      <w:pPr>
        <w:spacing w:after="0"/>
        <w:rPr>
          <w:rFonts w:cs="Arial"/>
          <w:szCs w:val="20"/>
        </w:rPr>
      </w:pPr>
      <w:r w:rsidRPr="003E109E">
        <w:rPr>
          <w:rFonts w:cs="Arial"/>
          <w:szCs w:val="20"/>
        </w:rPr>
        <w:t xml:space="preserve">From discussions in RAN1#114bis in </w:t>
      </w:r>
      <w:r w:rsidRPr="003E109E">
        <w:rPr>
          <w:rFonts w:cs="Arial"/>
          <w:szCs w:val="20"/>
        </w:rPr>
        <w:fldChar w:fldCharType="begin"/>
      </w:r>
      <w:r w:rsidRPr="003E109E">
        <w:rPr>
          <w:rFonts w:cs="Arial"/>
          <w:szCs w:val="20"/>
        </w:rPr>
        <w:instrText xml:space="preserve"> REF _Ref146564676 \r \h </w:instrText>
      </w:r>
      <w:r w:rsidR="003E109E" w:rsidRPr="003E109E">
        <w:rPr>
          <w:rFonts w:cs="Arial"/>
          <w:szCs w:val="20"/>
        </w:rPr>
        <w:instrText xml:space="preserve"> \* MERGEFORMAT </w:instrText>
      </w:r>
      <w:r w:rsidRPr="003E109E">
        <w:rPr>
          <w:rFonts w:cs="Arial"/>
          <w:szCs w:val="20"/>
        </w:rPr>
      </w:r>
      <w:r w:rsidRPr="003E109E">
        <w:rPr>
          <w:rFonts w:cs="Arial"/>
          <w:szCs w:val="20"/>
        </w:rPr>
        <w:fldChar w:fldCharType="separate"/>
      </w:r>
      <w:r w:rsidRPr="003E109E">
        <w:rPr>
          <w:rFonts w:cs="Arial"/>
          <w:szCs w:val="20"/>
        </w:rPr>
        <w:t>[2]</w:t>
      </w:r>
      <w:r w:rsidRPr="003E109E">
        <w:rPr>
          <w:rFonts w:cs="Arial"/>
          <w:szCs w:val="20"/>
        </w:rPr>
        <w:fldChar w:fldCharType="end"/>
      </w:r>
      <w:r w:rsidRPr="003E109E">
        <w:rPr>
          <w:rFonts w:cs="Arial"/>
          <w:szCs w:val="20"/>
        </w:rPr>
        <w:t>, there appeared to be consensus for the following:</w:t>
      </w:r>
    </w:p>
    <w:p w14:paraId="6F1DB3B3" w14:textId="6C51C18B" w:rsidR="005823B9" w:rsidRPr="003E109E" w:rsidRDefault="005823B9" w:rsidP="005823B9">
      <w:pPr>
        <w:pStyle w:val="ListParagraph"/>
        <w:numPr>
          <w:ilvl w:val="0"/>
          <w:numId w:val="27"/>
        </w:numPr>
        <w:rPr>
          <w:rFonts w:ascii="Arial" w:hAnsi="Arial" w:cs="Arial"/>
          <w:sz w:val="20"/>
          <w:szCs w:val="20"/>
        </w:rPr>
      </w:pPr>
      <w:r w:rsidRPr="003E109E">
        <w:rPr>
          <w:rFonts w:ascii="Arial" w:hAnsi="Arial" w:cs="Arial"/>
          <w:sz w:val="20"/>
          <w:szCs w:val="20"/>
        </w:rPr>
        <w:t>For an aperiodic SRS triggered in DCI format 1_1 or 1_2, the UE transmits SRS on one serving cell scheduled by the DCI.</w:t>
      </w:r>
    </w:p>
    <w:p w14:paraId="51A89B48" w14:textId="4C59ECB3" w:rsidR="005823B9" w:rsidRPr="003E109E" w:rsidRDefault="005823B9" w:rsidP="005823B9">
      <w:pPr>
        <w:pStyle w:val="ListParagraph"/>
        <w:numPr>
          <w:ilvl w:val="0"/>
          <w:numId w:val="27"/>
        </w:numPr>
        <w:rPr>
          <w:rFonts w:ascii="Arial" w:hAnsi="Arial" w:cs="Arial"/>
          <w:sz w:val="20"/>
          <w:szCs w:val="20"/>
        </w:rPr>
      </w:pPr>
      <w:r w:rsidRPr="003E109E">
        <w:rPr>
          <w:rFonts w:ascii="Arial" w:hAnsi="Arial" w:cs="Arial"/>
          <w:sz w:val="20"/>
          <w:szCs w:val="20"/>
        </w:rPr>
        <w:t>That the UE must use SRS resource sets with usage ‘</w:t>
      </w:r>
      <w:proofErr w:type="spellStart"/>
      <w:r w:rsidRPr="003E109E">
        <w:rPr>
          <w:rFonts w:ascii="Arial" w:hAnsi="Arial" w:cs="Arial"/>
          <w:sz w:val="20"/>
          <w:szCs w:val="20"/>
        </w:rPr>
        <w:t>antennaSwitching</w:t>
      </w:r>
      <w:proofErr w:type="spellEnd"/>
      <w:r w:rsidRPr="003E109E">
        <w:rPr>
          <w:rFonts w:ascii="Arial" w:hAnsi="Arial" w:cs="Arial"/>
          <w:sz w:val="20"/>
          <w:szCs w:val="20"/>
        </w:rPr>
        <w:t>’ for SRS carrier switching is explicitly specified in the case of triggering with DCI format 2_3, but not for other DCI formats.</w:t>
      </w:r>
    </w:p>
    <w:p w14:paraId="7C3F819E" w14:textId="089D9C74" w:rsidR="00351F32" w:rsidRPr="003E109E" w:rsidRDefault="005823B9" w:rsidP="005823B9">
      <w:pPr>
        <w:pStyle w:val="ListParagraph"/>
        <w:numPr>
          <w:ilvl w:val="0"/>
          <w:numId w:val="27"/>
        </w:numPr>
        <w:rPr>
          <w:rFonts w:ascii="Arial" w:hAnsi="Arial" w:cs="Arial"/>
          <w:sz w:val="20"/>
          <w:szCs w:val="20"/>
        </w:rPr>
      </w:pPr>
      <w:r w:rsidRPr="003E109E">
        <w:rPr>
          <w:rFonts w:ascii="Arial" w:hAnsi="Arial" w:cs="Arial"/>
          <w:sz w:val="20"/>
          <w:szCs w:val="20"/>
        </w:rPr>
        <w:t>It is not explicitly stated in L1 specifications that the carrier switching SRS is transmitted on at most one serving cell scheduled by DCI 1_1 or 1_2.</w:t>
      </w:r>
    </w:p>
    <w:p w14:paraId="2187BB40" w14:textId="23D5C967" w:rsidR="005823B9" w:rsidRPr="003E109E" w:rsidRDefault="005823B9" w:rsidP="005823B9">
      <w:pPr>
        <w:pStyle w:val="ListParagraph"/>
        <w:numPr>
          <w:ilvl w:val="0"/>
          <w:numId w:val="27"/>
        </w:numPr>
        <w:rPr>
          <w:rFonts w:ascii="Arial" w:hAnsi="Arial" w:cs="Arial"/>
          <w:sz w:val="20"/>
          <w:szCs w:val="20"/>
        </w:rPr>
      </w:pPr>
      <w:r w:rsidRPr="003E109E">
        <w:rPr>
          <w:rFonts w:ascii="Arial" w:hAnsi="Arial" w:cs="Arial"/>
          <w:sz w:val="20"/>
          <w:szCs w:val="20"/>
        </w:rPr>
        <w:t>UEs support at least self-scheduling for DCI 1_1/1_2 triggered aperiodic SRS carrier switching.  Cross-carrier scheduling can be additionally supported according to capability for cross-carrier scheduling</w:t>
      </w:r>
      <w:r w:rsidRPr="003E109E">
        <w:rPr>
          <w:rFonts w:ascii="Arial" w:hAnsi="Arial" w:cs="Arial"/>
          <w:sz w:val="20"/>
          <w:szCs w:val="20"/>
          <w:lang w:val="en-US"/>
        </w:rPr>
        <w:t>.</w:t>
      </w:r>
    </w:p>
    <w:p w14:paraId="40E8E18C" w14:textId="2C6062CC" w:rsidR="005823B9" w:rsidRDefault="005823B9" w:rsidP="005823B9"/>
    <w:p w14:paraId="60F27FE8" w14:textId="08C384DE" w:rsidR="00E17A7E" w:rsidRPr="003E109E" w:rsidRDefault="00E17A7E" w:rsidP="00D635D5">
      <w:pPr>
        <w:spacing w:after="0"/>
        <w:rPr>
          <w:b/>
          <w:bCs/>
          <w:u w:val="single"/>
        </w:rPr>
      </w:pPr>
      <w:r w:rsidRPr="003E109E">
        <w:rPr>
          <w:b/>
          <w:bCs/>
          <w:u w:val="single"/>
        </w:rPr>
        <w:t xml:space="preserve">Observation </w:t>
      </w:r>
      <w:r w:rsidR="00F27C39">
        <w:rPr>
          <w:b/>
          <w:bCs/>
          <w:u w:val="single"/>
        </w:rPr>
        <w:t>2.2.1</w:t>
      </w:r>
      <w:r w:rsidRPr="003E109E">
        <w:rPr>
          <w:b/>
          <w:bCs/>
          <w:u w:val="single"/>
        </w:rPr>
        <w:t>:</w:t>
      </w:r>
    </w:p>
    <w:p w14:paraId="5221D414" w14:textId="1F0ABA05" w:rsidR="00E17A7E" w:rsidRPr="003E109E" w:rsidRDefault="00E17A7E" w:rsidP="00E17A7E">
      <w:pPr>
        <w:spacing w:after="0"/>
        <w:rPr>
          <w:rFonts w:cs="Arial"/>
          <w:szCs w:val="20"/>
        </w:rPr>
      </w:pPr>
      <w:r w:rsidRPr="003E109E">
        <w:rPr>
          <w:rFonts w:cs="Arial"/>
          <w:szCs w:val="20"/>
        </w:rPr>
        <w:t xml:space="preserve">There was consensus in RAN1#114bis </w:t>
      </w:r>
      <w:r>
        <w:rPr>
          <w:rFonts w:cs="Arial"/>
          <w:szCs w:val="20"/>
        </w:rPr>
        <w:fldChar w:fldCharType="begin"/>
      </w:r>
      <w:r>
        <w:rPr>
          <w:rFonts w:cs="Arial"/>
          <w:szCs w:val="20"/>
        </w:rPr>
        <w:instrText xml:space="preserve"> REF _Ref146564676 \r \h </w:instrText>
      </w:r>
      <w:r>
        <w:rPr>
          <w:rFonts w:cs="Arial"/>
          <w:szCs w:val="20"/>
        </w:rPr>
      </w:r>
      <w:r>
        <w:rPr>
          <w:rFonts w:cs="Arial"/>
          <w:szCs w:val="20"/>
        </w:rPr>
        <w:fldChar w:fldCharType="separate"/>
      </w:r>
      <w:r>
        <w:rPr>
          <w:rFonts w:cs="Arial"/>
          <w:szCs w:val="20"/>
        </w:rPr>
        <w:t>[2]</w:t>
      </w:r>
      <w:r>
        <w:rPr>
          <w:rFonts w:cs="Arial"/>
          <w:szCs w:val="20"/>
        </w:rPr>
        <w:fldChar w:fldCharType="end"/>
      </w:r>
      <w:r>
        <w:rPr>
          <w:rFonts w:cs="Arial"/>
          <w:szCs w:val="20"/>
        </w:rPr>
        <w:t xml:space="preserve"> for </w:t>
      </w:r>
      <w:r w:rsidRPr="003E109E">
        <w:rPr>
          <w:rFonts w:cs="Arial"/>
          <w:szCs w:val="20"/>
        </w:rPr>
        <w:t xml:space="preserve">aperiodic carrier switching with DCI 1_1/1_2 that the </w:t>
      </w:r>
      <w:proofErr w:type="gramStart"/>
      <w:r w:rsidRPr="003E109E">
        <w:rPr>
          <w:rFonts w:cs="Arial"/>
          <w:szCs w:val="20"/>
        </w:rPr>
        <w:t>UE</w:t>
      </w:r>
      <w:proofErr w:type="gramEnd"/>
    </w:p>
    <w:p w14:paraId="76D1D336" w14:textId="77777777" w:rsidR="00E17A7E" w:rsidRPr="003E109E" w:rsidRDefault="00E17A7E" w:rsidP="00E17A7E">
      <w:pPr>
        <w:pStyle w:val="ListParagraph"/>
        <w:numPr>
          <w:ilvl w:val="0"/>
          <w:numId w:val="28"/>
        </w:numPr>
        <w:rPr>
          <w:rFonts w:ascii="Arial" w:hAnsi="Arial" w:cs="Arial"/>
          <w:sz w:val="20"/>
          <w:szCs w:val="20"/>
        </w:rPr>
      </w:pPr>
      <w:r w:rsidRPr="003E109E">
        <w:rPr>
          <w:rFonts w:ascii="Arial" w:hAnsi="Arial" w:cs="Arial"/>
          <w:sz w:val="20"/>
          <w:szCs w:val="20"/>
        </w:rPr>
        <w:t>Transmits SRS on one serving cell scheduled by the DCI and that this is not explicitly stated in L1 specifications</w:t>
      </w:r>
    </w:p>
    <w:p w14:paraId="6AA0B78D" w14:textId="2EF3D633" w:rsidR="00E17A7E" w:rsidRPr="003E109E" w:rsidRDefault="00E17A7E" w:rsidP="00E17A7E">
      <w:pPr>
        <w:pStyle w:val="ListParagraph"/>
        <w:numPr>
          <w:ilvl w:val="0"/>
          <w:numId w:val="28"/>
        </w:numPr>
        <w:rPr>
          <w:rFonts w:ascii="Arial" w:hAnsi="Arial" w:cs="Arial"/>
          <w:sz w:val="20"/>
          <w:szCs w:val="20"/>
        </w:rPr>
      </w:pPr>
      <w:r w:rsidRPr="003E109E">
        <w:rPr>
          <w:rFonts w:ascii="Arial" w:hAnsi="Arial" w:cs="Arial"/>
          <w:sz w:val="20"/>
          <w:szCs w:val="20"/>
        </w:rPr>
        <w:t>Must use SRS resource sets with usage ‘</w:t>
      </w:r>
      <w:proofErr w:type="spellStart"/>
      <w:r w:rsidRPr="003E109E">
        <w:rPr>
          <w:rFonts w:ascii="Arial" w:hAnsi="Arial" w:cs="Arial"/>
          <w:sz w:val="20"/>
          <w:szCs w:val="20"/>
        </w:rPr>
        <w:t>antennaSwitching</w:t>
      </w:r>
      <w:proofErr w:type="spellEnd"/>
      <w:r w:rsidRPr="003E109E">
        <w:rPr>
          <w:rFonts w:ascii="Arial" w:hAnsi="Arial" w:cs="Arial"/>
          <w:sz w:val="20"/>
          <w:szCs w:val="20"/>
        </w:rPr>
        <w:t xml:space="preserve">’ </w:t>
      </w:r>
      <w:r w:rsidR="0056112F">
        <w:rPr>
          <w:rFonts w:ascii="Arial" w:hAnsi="Arial" w:cs="Arial"/>
          <w:sz w:val="20"/>
          <w:szCs w:val="20"/>
          <w:lang w:val="en-US"/>
        </w:rPr>
        <w:t xml:space="preserve">for SRS carriers switching </w:t>
      </w:r>
      <w:r w:rsidRPr="003E109E">
        <w:rPr>
          <w:rFonts w:ascii="Arial" w:hAnsi="Arial" w:cs="Arial"/>
          <w:sz w:val="20"/>
          <w:szCs w:val="20"/>
        </w:rPr>
        <w:t>and that this is stated for the case of triggering with DCI format 2_3, but not for other DCI formats</w:t>
      </w:r>
    </w:p>
    <w:p w14:paraId="32AE7CA8" w14:textId="77777777" w:rsidR="00E17A7E" w:rsidRPr="003E109E" w:rsidRDefault="00E17A7E" w:rsidP="00E17A7E">
      <w:pPr>
        <w:pStyle w:val="ListParagraph"/>
        <w:numPr>
          <w:ilvl w:val="0"/>
          <w:numId w:val="28"/>
        </w:numPr>
        <w:rPr>
          <w:rFonts w:ascii="Arial" w:hAnsi="Arial" w:cs="Arial"/>
          <w:sz w:val="20"/>
          <w:szCs w:val="20"/>
        </w:rPr>
      </w:pPr>
      <w:r w:rsidRPr="003E109E">
        <w:rPr>
          <w:rFonts w:ascii="Arial" w:hAnsi="Arial" w:cs="Arial"/>
          <w:sz w:val="20"/>
          <w:szCs w:val="20"/>
        </w:rPr>
        <w:t xml:space="preserve">Supports at least self-scheduling for DCI 1_1/1_2 triggered aperiodic SRS carrier switching.  </w:t>
      </w:r>
    </w:p>
    <w:p w14:paraId="6AF10A1A" w14:textId="77777777" w:rsidR="00E17A7E" w:rsidRPr="003E109E" w:rsidRDefault="00E17A7E" w:rsidP="00E17A7E">
      <w:pPr>
        <w:pStyle w:val="ListParagraph"/>
        <w:numPr>
          <w:ilvl w:val="1"/>
          <w:numId w:val="28"/>
        </w:numPr>
        <w:rPr>
          <w:rFonts w:ascii="Arial" w:hAnsi="Arial" w:cs="Arial"/>
          <w:sz w:val="20"/>
          <w:szCs w:val="20"/>
        </w:rPr>
      </w:pPr>
      <w:r w:rsidRPr="003E109E">
        <w:rPr>
          <w:rFonts w:ascii="Arial" w:hAnsi="Arial" w:cs="Arial"/>
          <w:sz w:val="20"/>
          <w:szCs w:val="20"/>
        </w:rPr>
        <w:t>Cross-carrier scheduling can be additionally supported according to capability for cross-carrier scheduling.</w:t>
      </w:r>
    </w:p>
    <w:p w14:paraId="13B49124" w14:textId="77777777" w:rsidR="00E17A7E" w:rsidRDefault="00E17A7E" w:rsidP="005823B9"/>
    <w:p w14:paraId="7DEF5D48" w14:textId="0E60B76C" w:rsidR="00313230" w:rsidRDefault="00F27C39" w:rsidP="00F27C39">
      <w:r>
        <w:t xml:space="preserve">Rel-17 supports antenna switching configurations with more than two SRS resource sets.  Therefore, it was asked </w:t>
      </w:r>
      <w:r w:rsidR="00383BC1">
        <w:fldChar w:fldCharType="begin"/>
      </w:r>
      <w:r w:rsidR="00383BC1">
        <w:instrText xml:space="preserve"> REF _Ref146564676 \r \h </w:instrText>
      </w:r>
      <w:r w:rsidR="00383BC1">
        <w:fldChar w:fldCharType="separate"/>
      </w:r>
      <w:r w:rsidR="00383BC1">
        <w:t>[2]</w:t>
      </w:r>
      <w:r w:rsidR="00383BC1">
        <w:fldChar w:fldCharType="end"/>
      </w:r>
      <w:r w:rsidR="00383BC1">
        <w:t xml:space="preserve"> </w:t>
      </w:r>
      <w:r>
        <w:t xml:space="preserve">if </w:t>
      </w:r>
      <w:r w:rsidRPr="00F27C39">
        <w:t xml:space="preserve">Rel-17 SRS antenna switching configurations that require more than two SRS resource sets </w:t>
      </w:r>
      <w:r w:rsidR="00383BC1">
        <w:t xml:space="preserve">were </w:t>
      </w:r>
      <w:r w:rsidRPr="00F27C39">
        <w:t>intended to be precluded for use with aperiodic SRS carrier switching</w:t>
      </w:r>
      <w:r>
        <w:t xml:space="preserve">.  Five companies thought that more than two SRS resource sets should be </w:t>
      </w:r>
      <w:proofErr w:type="gramStart"/>
      <w:r>
        <w:t>supported</w:t>
      </w:r>
      <w:proofErr w:type="gramEnd"/>
      <w:r>
        <w:t xml:space="preserve"> and the specifications should be corrected, with no new UE capability. Three companies thought that it is not supported by current specs and the specs should not be changed at this time, of which some </w:t>
      </w:r>
      <w:r w:rsidR="00383BC1">
        <w:t>thought that</w:t>
      </w:r>
      <w:r>
        <w:t xml:space="preserve"> a TEI could be used to support more than two set configurations. Therefore, at this stage, it seems difficult to change the specs to state support for more than two SRS resource sets with aperiodic SRS carrier switching. However, the Moderator highlighted that some companies concerned with modifying the spec to support more than two SRS resource sets suggested a TEI to add support for more than two SRS resource sets.</w:t>
      </w:r>
    </w:p>
    <w:p w14:paraId="17E14A02" w14:textId="6B38CF4E" w:rsidR="00F27C39" w:rsidRPr="00F27C39" w:rsidRDefault="00F27C39" w:rsidP="00F27C39">
      <w:pPr>
        <w:spacing w:after="0"/>
        <w:rPr>
          <w:rFonts w:cs="Arial"/>
          <w:b/>
          <w:bCs/>
          <w:szCs w:val="20"/>
          <w:u w:val="single"/>
        </w:rPr>
      </w:pPr>
      <w:r w:rsidRPr="00F27C39">
        <w:rPr>
          <w:rFonts w:cs="Arial"/>
          <w:b/>
          <w:bCs/>
          <w:szCs w:val="20"/>
          <w:u w:val="single"/>
        </w:rPr>
        <w:t xml:space="preserve">Observation </w:t>
      </w:r>
      <w:r>
        <w:rPr>
          <w:rFonts w:cs="Arial"/>
          <w:b/>
          <w:bCs/>
          <w:szCs w:val="20"/>
          <w:u w:val="single"/>
        </w:rPr>
        <w:t>2.2.2</w:t>
      </w:r>
      <w:r w:rsidRPr="00F27C39">
        <w:rPr>
          <w:rFonts w:cs="Arial"/>
          <w:b/>
          <w:bCs/>
          <w:szCs w:val="20"/>
          <w:u w:val="single"/>
        </w:rPr>
        <w:t>:</w:t>
      </w:r>
    </w:p>
    <w:p w14:paraId="70E4B378" w14:textId="7EE098C2" w:rsidR="00F27C39" w:rsidRPr="00F27C39" w:rsidRDefault="00F27C39" w:rsidP="00F27C39">
      <w:pPr>
        <w:pStyle w:val="ListParagraph"/>
        <w:numPr>
          <w:ilvl w:val="0"/>
          <w:numId w:val="33"/>
        </w:numPr>
        <w:rPr>
          <w:rFonts w:ascii="Arial" w:hAnsi="Arial" w:cs="Arial"/>
          <w:sz w:val="20"/>
          <w:szCs w:val="20"/>
        </w:rPr>
      </w:pPr>
      <w:r w:rsidRPr="00F27C39">
        <w:rPr>
          <w:rFonts w:ascii="Arial" w:hAnsi="Arial" w:cs="Arial"/>
          <w:sz w:val="20"/>
          <w:szCs w:val="20"/>
        </w:rPr>
        <w:t xml:space="preserve">A majority of companies thought that support for Rel-17 antenna switching configurations with more than two SRS resource sets </w:t>
      </w:r>
      <w:r w:rsidR="00383BC1">
        <w:rPr>
          <w:rFonts w:ascii="Arial" w:hAnsi="Arial" w:cs="Arial"/>
          <w:sz w:val="20"/>
          <w:szCs w:val="20"/>
          <w:lang w:val="en-US"/>
        </w:rPr>
        <w:t xml:space="preserve">should </w:t>
      </w:r>
      <w:r w:rsidRPr="00F27C39">
        <w:rPr>
          <w:rFonts w:ascii="Arial" w:hAnsi="Arial" w:cs="Arial"/>
          <w:sz w:val="20"/>
          <w:szCs w:val="20"/>
        </w:rPr>
        <w:t xml:space="preserve">be supported and the specifications should be corrected, with no new UE capability.  </w:t>
      </w:r>
    </w:p>
    <w:p w14:paraId="17D07900" w14:textId="23695668" w:rsidR="00F27C39" w:rsidRPr="00F27C39" w:rsidRDefault="00383BC1" w:rsidP="00F27C39">
      <w:pPr>
        <w:pStyle w:val="ListParagraph"/>
        <w:numPr>
          <w:ilvl w:val="0"/>
          <w:numId w:val="33"/>
        </w:numPr>
        <w:rPr>
          <w:rFonts w:ascii="Arial" w:hAnsi="Arial" w:cs="Arial"/>
          <w:sz w:val="20"/>
          <w:szCs w:val="20"/>
        </w:rPr>
      </w:pPr>
      <w:r>
        <w:rPr>
          <w:rFonts w:ascii="Arial" w:hAnsi="Arial" w:cs="Arial"/>
          <w:sz w:val="20"/>
          <w:szCs w:val="20"/>
          <w:lang w:val="en-US"/>
        </w:rPr>
        <w:t>On the other hand</w:t>
      </w:r>
      <w:r w:rsidR="00F27C39" w:rsidRPr="00F27C39">
        <w:rPr>
          <w:rFonts w:ascii="Arial" w:hAnsi="Arial" w:cs="Arial"/>
          <w:sz w:val="20"/>
          <w:szCs w:val="20"/>
        </w:rPr>
        <w:t xml:space="preserve">, multiple companies did not want a spec change at this time. </w:t>
      </w:r>
    </w:p>
    <w:p w14:paraId="7806FF19" w14:textId="7ADD513F" w:rsidR="00F27C39" w:rsidRPr="00F27C39" w:rsidRDefault="00F27C39" w:rsidP="00383BC1">
      <w:pPr>
        <w:pStyle w:val="ListParagraph"/>
        <w:numPr>
          <w:ilvl w:val="1"/>
          <w:numId w:val="33"/>
        </w:numPr>
        <w:spacing w:after="120"/>
        <w:rPr>
          <w:rFonts w:ascii="Arial" w:hAnsi="Arial" w:cs="Arial"/>
          <w:sz w:val="20"/>
          <w:szCs w:val="20"/>
        </w:rPr>
      </w:pPr>
      <w:r w:rsidRPr="00F27C39">
        <w:rPr>
          <w:rFonts w:ascii="Arial" w:hAnsi="Arial" w:cs="Arial"/>
          <w:sz w:val="20"/>
          <w:szCs w:val="20"/>
        </w:rPr>
        <w:t>Of the companies that did not want a spec change, some suggested a TEI to support more than two SRS resource sets.</w:t>
      </w:r>
    </w:p>
    <w:p w14:paraId="08BAF1CC" w14:textId="1496150F" w:rsidR="003E109E" w:rsidRPr="00E17A7E" w:rsidRDefault="003E109E" w:rsidP="005823B9">
      <w:pPr>
        <w:rPr>
          <w:rFonts w:cs="Arial"/>
          <w:szCs w:val="20"/>
        </w:rPr>
      </w:pPr>
      <w:r>
        <w:t>It was also discussed if DCI format 0_1/0_2 could support aperiodic SRS carrier switching for Rel-17 SRS-only triggers</w:t>
      </w:r>
      <w:r w:rsidR="00E17A7E">
        <w:t xml:space="preserve">.  There was </w:t>
      </w:r>
      <w:proofErr w:type="spellStart"/>
      <w:r w:rsidR="00E17A7E">
        <w:t>not</w:t>
      </w:r>
      <w:proofErr w:type="spellEnd"/>
      <w:r w:rsidR="00E17A7E">
        <w:t xml:space="preserve"> consensus for this, and it was pointed out that PUSCH-less operation does not appear to be supported for the SRS-only triggers since DCI format 0_1/0_2 require </w:t>
      </w:r>
      <w:r w:rsidR="00E17A7E" w:rsidRPr="00E17A7E">
        <w:rPr>
          <w:rFonts w:cs="Arial"/>
          <w:szCs w:val="20"/>
        </w:rPr>
        <w:t>PUSCH to be configured to determine DCI field sizes.</w:t>
      </w:r>
    </w:p>
    <w:p w14:paraId="35BAD347" w14:textId="1436409A" w:rsidR="00E17A7E" w:rsidRPr="00E17A7E" w:rsidRDefault="00E17A7E" w:rsidP="00E71795">
      <w:pPr>
        <w:keepNext/>
        <w:spacing w:after="0"/>
        <w:rPr>
          <w:rFonts w:cs="Arial"/>
          <w:b/>
          <w:bCs/>
          <w:szCs w:val="20"/>
          <w:u w:val="single"/>
        </w:rPr>
      </w:pPr>
      <w:r w:rsidRPr="00E17A7E">
        <w:rPr>
          <w:rFonts w:cs="Arial"/>
          <w:b/>
          <w:bCs/>
          <w:szCs w:val="20"/>
          <w:u w:val="single"/>
        </w:rPr>
        <w:lastRenderedPageBreak/>
        <w:t xml:space="preserve">Observation </w:t>
      </w:r>
      <w:r w:rsidR="00F27C39">
        <w:rPr>
          <w:rFonts w:cs="Arial"/>
          <w:b/>
          <w:bCs/>
          <w:szCs w:val="20"/>
          <w:u w:val="single"/>
        </w:rPr>
        <w:t>2.2.3</w:t>
      </w:r>
      <w:r w:rsidRPr="00E17A7E">
        <w:rPr>
          <w:rFonts w:cs="Arial"/>
          <w:b/>
          <w:bCs/>
          <w:szCs w:val="20"/>
          <w:u w:val="single"/>
        </w:rPr>
        <w:t>:</w:t>
      </w:r>
    </w:p>
    <w:p w14:paraId="5B482C33" w14:textId="3EFD7481" w:rsidR="00E17A7E" w:rsidRPr="00E17A7E" w:rsidRDefault="00E17A7E" w:rsidP="00E17A7E">
      <w:pPr>
        <w:pStyle w:val="ListParagraph"/>
        <w:numPr>
          <w:ilvl w:val="0"/>
          <w:numId w:val="29"/>
        </w:numPr>
        <w:rPr>
          <w:rFonts w:ascii="Arial" w:hAnsi="Arial" w:cs="Arial"/>
          <w:sz w:val="20"/>
          <w:szCs w:val="20"/>
        </w:rPr>
      </w:pPr>
      <w:r w:rsidRPr="00E17A7E">
        <w:rPr>
          <w:rFonts w:ascii="Arial" w:hAnsi="Arial" w:cs="Arial"/>
          <w:sz w:val="20"/>
          <w:szCs w:val="20"/>
        </w:rPr>
        <w:t>Since current specifications do not explicitly state which DCI formats are supported, it is not straightforward to establish that DCI 0_1/0_2 is not supported for aperiodic SRS carrier switching.</w:t>
      </w:r>
    </w:p>
    <w:p w14:paraId="4471A6C6" w14:textId="77777777" w:rsidR="001D3C07" w:rsidRDefault="001D3C07" w:rsidP="001D3C07">
      <w:pPr>
        <w:spacing w:after="0"/>
      </w:pPr>
    </w:p>
    <w:p w14:paraId="0FAB7CA8" w14:textId="50339FF2" w:rsidR="00B63A01" w:rsidRDefault="0065742C" w:rsidP="00B63A01">
      <w:pPr>
        <w:rPr>
          <w:lang w:val="en-GB" w:eastAsia="ja-JP"/>
        </w:rPr>
      </w:pPr>
      <w:r>
        <w:t xml:space="preserve">These observations led to the following text proposal from </w:t>
      </w:r>
      <w:r>
        <w:fldChar w:fldCharType="begin"/>
      </w:r>
      <w:r>
        <w:instrText xml:space="preserve"> REF _Ref146564676 \r \h </w:instrText>
      </w:r>
      <w:r>
        <w:fldChar w:fldCharType="separate"/>
      </w:r>
      <w:r>
        <w:t>[2]</w:t>
      </w:r>
      <w:r>
        <w:fldChar w:fldCharType="end"/>
      </w:r>
      <w:r>
        <w:t xml:space="preserve"> that explicitly identifies the DCI formats supported for aperiodic SRS carrier switching, that the </w:t>
      </w:r>
      <w:r w:rsidRPr="0065742C">
        <w:t>UE transmits SRS on one serving cell</w:t>
      </w:r>
      <w:r w:rsidR="00272FDD">
        <w:t xml:space="preserve"> scheduled by the DCI</w:t>
      </w:r>
      <w:r>
        <w:t>, and that at most one or two SRS resource sets are used.  We make it again here</w:t>
      </w:r>
      <w:r w:rsidR="00620FB3">
        <w:t>, this time toward the Rel-17 specs</w:t>
      </w:r>
      <w:r>
        <w:t>.</w:t>
      </w:r>
      <w:r w:rsidR="00B63A01" w:rsidRPr="00B63A01">
        <w:rPr>
          <w:lang w:val="en-GB" w:eastAsia="ja-JP"/>
        </w:rPr>
        <w:t xml:space="preserve"> </w:t>
      </w:r>
      <w:r w:rsidR="00B63A01">
        <w:rPr>
          <w:lang w:val="en-GB" w:eastAsia="ja-JP"/>
        </w:rPr>
        <w:t xml:space="preserve">Since this </w:t>
      </w:r>
      <w:r w:rsidR="00EA5771">
        <w:rPr>
          <w:lang w:val="en-GB" w:eastAsia="ja-JP"/>
        </w:rPr>
        <w:t>CR</w:t>
      </w:r>
      <w:r w:rsidR="00B63A01">
        <w:rPr>
          <w:lang w:val="en-GB" w:eastAsia="ja-JP"/>
        </w:rPr>
        <w:t xml:space="preserve"> should reflect the </w:t>
      </w:r>
      <w:proofErr w:type="spellStart"/>
      <w:r w:rsidR="00B63A01">
        <w:rPr>
          <w:lang w:val="en-GB" w:eastAsia="ja-JP"/>
        </w:rPr>
        <w:t>behavior</w:t>
      </w:r>
      <w:proofErr w:type="spellEnd"/>
      <w:r w:rsidR="00B63A01">
        <w:rPr>
          <w:lang w:val="en-GB" w:eastAsia="ja-JP"/>
        </w:rPr>
        <w:t xml:space="preserve"> of Rel-15/16 UEs it can be quite helpful to clarify this in the cover sheet with the ‘magic sentence’</w:t>
      </w:r>
      <w:r w:rsidR="00272FDD">
        <w:rPr>
          <w:lang w:val="en-GB" w:eastAsia="ja-JP"/>
        </w:rPr>
        <w:t xml:space="preserve"> indicator there would be no interoperability issues if the CR is implemented in an earlier release than Rel-17</w:t>
      </w:r>
      <w:r w:rsidR="00B63A01">
        <w:rPr>
          <w:lang w:val="en-GB" w:eastAsia="ja-JP"/>
        </w:rPr>
        <w:t>.</w:t>
      </w:r>
    </w:p>
    <w:p w14:paraId="1005E121" w14:textId="4C9A74F9" w:rsidR="00E17A7E" w:rsidRDefault="00E17A7E" w:rsidP="00961F53">
      <w:pPr>
        <w:spacing w:after="0"/>
      </w:pPr>
    </w:p>
    <w:p w14:paraId="1B17F73C" w14:textId="43AD65E2" w:rsidR="00E17A7E" w:rsidRPr="00B63A01" w:rsidRDefault="00E17A7E" w:rsidP="00E17A7E">
      <w:pPr>
        <w:spacing w:after="0" w:line="240" w:lineRule="auto"/>
        <w:rPr>
          <w:rFonts w:cs="Arial"/>
          <w:b/>
          <w:bCs/>
          <w:szCs w:val="20"/>
          <w:u w:val="single"/>
          <w:lang w:val="en-GB" w:eastAsia="ja-JP"/>
        </w:rPr>
      </w:pPr>
      <w:r w:rsidRPr="00B63A01">
        <w:rPr>
          <w:rFonts w:cs="Arial"/>
          <w:b/>
          <w:bCs/>
          <w:szCs w:val="20"/>
          <w:u w:val="single"/>
          <w:lang w:val="en-GB" w:eastAsia="ja-JP"/>
        </w:rPr>
        <w:t xml:space="preserve">Proposal </w:t>
      </w:r>
      <w:r w:rsidR="00F27C39" w:rsidRPr="00B63A01">
        <w:rPr>
          <w:rFonts w:cs="Arial"/>
          <w:b/>
          <w:bCs/>
          <w:szCs w:val="20"/>
          <w:u w:val="single"/>
          <w:lang w:val="en-GB" w:eastAsia="ja-JP"/>
        </w:rPr>
        <w:t>2.2</w:t>
      </w:r>
      <w:r w:rsidRPr="00B63A01">
        <w:rPr>
          <w:rFonts w:cs="Arial"/>
          <w:b/>
          <w:bCs/>
          <w:szCs w:val="20"/>
          <w:u w:val="single"/>
          <w:lang w:val="en-GB" w:eastAsia="ja-JP"/>
        </w:rPr>
        <w:t>:</w:t>
      </w:r>
    </w:p>
    <w:p w14:paraId="6C89D2A8" w14:textId="266D8923" w:rsidR="00E17A7E" w:rsidRPr="00B63A01" w:rsidRDefault="00E17A7E" w:rsidP="00B63A01">
      <w:pPr>
        <w:pStyle w:val="ListParagraph"/>
        <w:numPr>
          <w:ilvl w:val="0"/>
          <w:numId w:val="29"/>
        </w:numPr>
        <w:spacing w:line="240" w:lineRule="auto"/>
        <w:rPr>
          <w:rFonts w:ascii="Arial" w:hAnsi="Arial" w:cs="Arial"/>
          <w:sz w:val="20"/>
          <w:szCs w:val="20"/>
        </w:rPr>
      </w:pPr>
      <w:r w:rsidRPr="00B63A01">
        <w:rPr>
          <w:rFonts w:ascii="Arial" w:hAnsi="Arial" w:cs="Arial"/>
          <w:color w:val="FF0000"/>
          <w:sz w:val="20"/>
          <w:szCs w:val="20"/>
          <w:u w:val="single"/>
        </w:rPr>
        <w:t>Change</w:t>
      </w:r>
      <w:r w:rsidRPr="00B63A01">
        <w:rPr>
          <w:rFonts w:ascii="Arial" w:hAnsi="Arial" w:cs="Arial"/>
          <w:color w:val="FF0000"/>
          <w:sz w:val="20"/>
          <w:szCs w:val="20"/>
        </w:rPr>
        <w:t xml:space="preserve"> </w:t>
      </w:r>
      <w:r w:rsidRPr="00B63A01">
        <w:rPr>
          <w:rFonts w:ascii="Arial" w:hAnsi="Arial" w:cs="Arial"/>
          <w:sz w:val="20"/>
          <w:szCs w:val="20"/>
        </w:rPr>
        <w:t>38.214 section 6.2.1.3 in a Rel-17/18 CR as follows</w:t>
      </w:r>
      <w:r w:rsidR="00583EAF" w:rsidRPr="00B63A01">
        <w:rPr>
          <w:rFonts w:ascii="Arial" w:hAnsi="Arial" w:cs="Arial"/>
          <w:sz w:val="20"/>
          <w:szCs w:val="20"/>
        </w:rPr>
        <w:t xml:space="preserve">, and as given in </w:t>
      </w:r>
      <w:r w:rsidR="00583EAF" w:rsidRPr="00B63A01">
        <w:rPr>
          <w:rFonts w:ascii="Arial" w:hAnsi="Arial" w:cs="Arial"/>
          <w:sz w:val="20"/>
          <w:szCs w:val="20"/>
        </w:rPr>
        <w:fldChar w:fldCharType="begin"/>
      </w:r>
      <w:r w:rsidR="00583EAF" w:rsidRPr="00B63A01">
        <w:rPr>
          <w:rFonts w:ascii="Arial" w:hAnsi="Arial" w:cs="Arial"/>
          <w:sz w:val="20"/>
          <w:szCs w:val="20"/>
        </w:rPr>
        <w:instrText xml:space="preserve"> REF _Ref146564714 \r \h </w:instrText>
      </w:r>
      <w:r w:rsidR="00B63A01" w:rsidRPr="00B63A01">
        <w:rPr>
          <w:rFonts w:ascii="Arial" w:hAnsi="Arial" w:cs="Arial"/>
          <w:sz w:val="20"/>
          <w:szCs w:val="20"/>
        </w:rPr>
        <w:instrText xml:space="preserve"> \* MERGEFORMAT </w:instrText>
      </w:r>
      <w:r w:rsidR="00583EAF" w:rsidRPr="00B63A01">
        <w:rPr>
          <w:rFonts w:ascii="Arial" w:hAnsi="Arial" w:cs="Arial"/>
          <w:sz w:val="20"/>
          <w:szCs w:val="20"/>
        </w:rPr>
      </w:r>
      <w:r w:rsidR="00583EAF" w:rsidRPr="00B63A01">
        <w:rPr>
          <w:rFonts w:ascii="Arial" w:hAnsi="Arial" w:cs="Arial"/>
          <w:sz w:val="20"/>
          <w:szCs w:val="20"/>
        </w:rPr>
        <w:fldChar w:fldCharType="separate"/>
      </w:r>
      <w:r w:rsidR="00583EAF" w:rsidRPr="00B63A01">
        <w:rPr>
          <w:rFonts w:ascii="Arial" w:hAnsi="Arial" w:cs="Arial"/>
          <w:sz w:val="20"/>
          <w:szCs w:val="20"/>
        </w:rPr>
        <w:t>[3]</w:t>
      </w:r>
      <w:r w:rsidR="00583EAF" w:rsidRPr="00B63A01">
        <w:rPr>
          <w:rFonts w:ascii="Arial" w:hAnsi="Arial" w:cs="Arial"/>
          <w:sz w:val="20"/>
          <w:szCs w:val="20"/>
        </w:rPr>
        <w:fldChar w:fldCharType="end"/>
      </w:r>
    </w:p>
    <w:p w14:paraId="7C5CA127" w14:textId="61592308" w:rsidR="00B63A01" w:rsidRPr="00B63A01" w:rsidRDefault="00B63A01" w:rsidP="00B63A01">
      <w:pPr>
        <w:pStyle w:val="ListParagraph"/>
        <w:numPr>
          <w:ilvl w:val="1"/>
          <w:numId w:val="29"/>
        </w:numPr>
        <w:spacing w:line="240" w:lineRule="auto"/>
        <w:rPr>
          <w:rFonts w:ascii="Arial" w:hAnsi="Arial" w:cs="Arial"/>
          <w:sz w:val="20"/>
          <w:szCs w:val="20"/>
        </w:rPr>
      </w:pPr>
      <w:r w:rsidRPr="00B63A01">
        <w:rPr>
          <w:rFonts w:ascii="Arial" w:hAnsi="Arial" w:cs="Arial"/>
          <w:sz w:val="20"/>
          <w:szCs w:val="20"/>
        </w:rPr>
        <w:t>Capture on the cover sheet of the CR: “This CR can be implemented in earlier releases than the CR without causing interoperability issues”</w:t>
      </w:r>
    </w:p>
    <w:p w14:paraId="00970E17" w14:textId="3E043576" w:rsidR="00FA1F2D" w:rsidRDefault="00FA1F2D" w:rsidP="00E17A7E">
      <w:pPr>
        <w:spacing w:after="0" w:line="240" w:lineRule="auto"/>
        <w:rPr>
          <w:rFonts w:ascii="Calibri" w:hAnsi="Calibri" w:cs="Calibri"/>
          <w:sz w:val="22"/>
        </w:rPr>
      </w:pPr>
    </w:p>
    <w:p w14:paraId="7E636B2B" w14:textId="1A741D05" w:rsidR="00E17A7E" w:rsidRPr="00E17A7E" w:rsidRDefault="00FA1F2D" w:rsidP="00FA1F2D">
      <w:pPr>
        <w:rPr>
          <w:rFonts w:ascii="Calibri" w:hAnsi="Calibri" w:cs="Calibri"/>
          <w:i/>
          <w:iCs/>
          <w:sz w:val="22"/>
        </w:rPr>
      </w:pPr>
      <w:r w:rsidRPr="00FA1F2D">
        <w:rPr>
          <w:i/>
          <w:iCs/>
          <w:u w:val="single"/>
          <w:lang w:val="en-GB"/>
        </w:rPr>
        <w:t>Text Proposal 2.2</w:t>
      </w:r>
    </w:p>
    <w:tbl>
      <w:tblPr>
        <w:tblStyle w:val="TableGrid"/>
        <w:tblW w:w="0" w:type="auto"/>
        <w:tblLook w:val="04A0" w:firstRow="1" w:lastRow="0" w:firstColumn="1" w:lastColumn="0" w:noHBand="0" w:noVBand="1"/>
      </w:tblPr>
      <w:tblGrid>
        <w:gridCol w:w="9629"/>
      </w:tblGrid>
      <w:tr w:rsidR="004875AD" w14:paraId="4D0738EF" w14:textId="77777777" w:rsidTr="004875AD">
        <w:tc>
          <w:tcPr>
            <w:tcW w:w="9629" w:type="dxa"/>
          </w:tcPr>
          <w:p w14:paraId="3C13681C" w14:textId="77777777" w:rsidR="004875AD" w:rsidRPr="004875AD" w:rsidRDefault="004875AD" w:rsidP="004875AD">
            <w:pPr>
              <w:spacing w:after="180" w:line="240" w:lineRule="auto"/>
              <w:rPr>
                <w:rFonts w:ascii="Times New Roman" w:eastAsia="Times New Roman" w:hAnsi="Times New Roman" w:cs="Times New Roman"/>
                <w:color w:val="FF0000"/>
                <w:u w:val="single"/>
              </w:rPr>
            </w:pPr>
            <w:r w:rsidRPr="004875AD">
              <w:rPr>
                <w:rFonts w:ascii="Times New Roman" w:eastAsia="SimSun" w:hAnsi="Times New Roman" w:cs="Times New Roman"/>
                <w:color w:val="000000"/>
              </w:rPr>
              <w:t xml:space="preserve">For an aperiodic SRS triggered in DCI format 2_3 and if the UE is configured with higher layer parameter </w:t>
            </w:r>
            <w:proofErr w:type="spellStart"/>
            <w:r w:rsidRPr="004875AD">
              <w:rPr>
                <w:rFonts w:ascii="Times New Roman" w:eastAsia="SimSun" w:hAnsi="Times New Roman" w:cs="Times New Roman"/>
                <w:i/>
                <w:szCs w:val="20"/>
                <w:lang w:val="en-GB"/>
              </w:rPr>
              <w:t>srs</w:t>
            </w:r>
            <w:proofErr w:type="spellEnd"/>
            <w:r w:rsidRPr="004875AD">
              <w:rPr>
                <w:rFonts w:ascii="Times New Roman" w:eastAsia="SimSun" w:hAnsi="Times New Roman" w:cs="Times New Roman"/>
                <w:i/>
                <w:szCs w:val="20"/>
                <w:lang w:val="en-GB"/>
              </w:rPr>
              <w:t>-TPC-PDCCH-Group</w:t>
            </w:r>
            <w:r w:rsidRPr="004875AD">
              <w:rPr>
                <w:rFonts w:ascii="Times New Roman" w:eastAsia="SimSun" w:hAnsi="Times New Roman" w:cs="Times New Roman"/>
                <w:color w:val="000000"/>
              </w:rPr>
              <w:t xml:space="preserve"> set to '</w:t>
            </w:r>
            <w:proofErr w:type="spellStart"/>
            <w:r w:rsidRPr="004875AD">
              <w:rPr>
                <w:rFonts w:ascii="Times New Roman" w:eastAsia="SimSun" w:hAnsi="Times New Roman" w:cs="Times New Roman"/>
                <w:color w:val="000000"/>
              </w:rPr>
              <w:t>typeB</w:t>
            </w:r>
            <w:proofErr w:type="spellEnd"/>
            <w:r w:rsidRPr="004875AD">
              <w:rPr>
                <w:rFonts w:ascii="Times New Roman" w:eastAsia="SimSun" w:hAnsi="Times New Roman" w:cs="Times New Roman"/>
                <w:color w:val="00000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from </w:t>
            </w:r>
            <w:proofErr w:type="spellStart"/>
            <w:r w:rsidRPr="004875AD">
              <w:rPr>
                <w:rFonts w:ascii="Times New Roman" w:eastAsia="SimSun" w:hAnsi="Times New Roman" w:cs="Times New Roman"/>
                <w:i/>
                <w:color w:val="000000"/>
              </w:rPr>
              <w:t>srs-ResourceSetToAddModList</w:t>
            </w:r>
            <w:proofErr w:type="spellEnd"/>
            <w:r w:rsidRPr="004875AD">
              <w:rPr>
                <w:rFonts w:ascii="Times New Roman" w:eastAsia="SimSun" w:hAnsi="Times New Roman" w:cs="Times New Roman"/>
                <w:color w:val="000000"/>
              </w:rPr>
              <w:t xml:space="preserve"> with higher layer parameter </w:t>
            </w:r>
            <w:r w:rsidRPr="004875AD">
              <w:rPr>
                <w:rFonts w:ascii="Times New Roman" w:eastAsia="SimSun" w:hAnsi="Times New Roman" w:cs="Times New Roman"/>
                <w:i/>
                <w:color w:val="000000"/>
              </w:rPr>
              <w:t>usage</w:t>
            </w:r>
            <w:r w:rsidRPr="004875AD">
              <w:rPr>
                <w:rFonts w:ascii="Times New Roman" w:eastAsia="SimSun" w:hAnsi="Times New Roman" w:cs="Times New Roman"/>
                <w:color w:val="000000"/>
              </w:rPr>
              <w:t xml:space="preserve"> set to '</w:t>
            </w:r>
            <w:proofErr w:type="spellStart"/>
            <w:r w:rsidRPr="004875AD">
              <w:rPr>
                <w:rFonts w:ascii="Times New Roman" w:eastAsia="SimSun" w:hAnsi="Times New Roman" w:cs="Times New Roman"/>
                <w:color w:val="000000"/>
              </w:rPr>
              <w:t>antennaSwitching</w:t>
            </w:r>
            <w:proofErr w:type="spellEnd"/>
            <w:r w:rsidRPr="004875AD">
              <w:rPr>
                <w:rFonts w:ascii="Times New Roman" w:eastAsia="SimSun" w:hAnsi="Times New Roman" w:cs="Times New Roman"/>
                <w:color w:val="000000"/>
              </w:rPr>
              <w:t xml:space="preserve">' and higher layer parameter </w:t>
            </w:r>
            <w:proofErr w:type="spellStart"/>
            <w:r w:rsidRPr="004875AD">
              <w:rPr>
                <w:rFonts w:ascii="Times New Roman" w:eastAsia="SimSun" w:hAnsi="Times New Roman" w:cs="Times New Roman"/>
                <w:i/>
                <w:color w:val="000000"/>
              </w:rPr>
              <w:t>resourceType</w:t>
            </w:r>
            <w:proofErr w:type="spellEnd"/>
            <w:r w:rsidRPr="004875AD">
              <w:rPr>
                <w:rFonts w:ascii="Times New Roman" w:eastAsia="SimSun" w:hAnsi="Times New Roman" w:cs="Times New Roman"/>
                <w:color w:val="000000"/>
              </w:rPr>
              <w:t xml:space="preserve"> in </w:t>
            </w:r>
            <w:r w:rsidRPr="004875AD">
              <w:rPr>
                <w:rFonts w:ascii="Times New Roman" w:eastAsia="SimSun" w:hAnsi="Times New Roman" w:cs="Times New Roman"/>
                <w:i/>
                <w:color w:val="000000"/>
              </w:rPr>
              <w:t>SRS-</w:t>
            </w:r>
            <w:proofErr w:type="spellStart"/>
            <w:r w:rsidRPr="004875AD">
              <w:rPr>
                <w:rFonts w:ascii="Times New Roman" w:eastAsia="SimSun" w:hAnsi="Times New Roman" w:cs="Times New Roman"/>
                <w:i/>
                <w:color w:val="000000"/>
              </w:rPr>
              <w:t>ResourceSet</w:t>
            </w:r>
            <w:proofErr w:type="spellEnd"/>
            <w:r w:rsidRPr="004875AD">
              <w:rPr>
                <w:rFonts w:ascii="Times New Roman" w:eastAsia="SimSun" w:hAnsi="Times New Roman" w:cs="Times New Roman"/>
                <w:color w:val="000000"/>
              </w:rPr>
              <w:t xml:space="preserve"> set to 'aperiodic'.</w:t>
            </w:r>
          </w:p>
          <w:p w14:paraId="4F8DC267" w14:textId="77777777" w:rsidR="004875AD" w:rsidRPr="004875AD" w:rsidRDefault="004875AD" w:rsidP="004875AD">
            <w:pPr>
              <w:spacing w:after="180" w:line="240" w:lineRule="auto"/>
              <w:rPr>
                <w:rFonts w:ascii="Times New Roman" w:eastAsia="SimSun" w:hAnsi="Times New Roman" w:cs="Times New Roman"/>
                <w:color w:val="000000"/>
              </w:rPr>
            </w:pPr>
            <w:r w:rsidRPr="004875AD">
              <w:rPr>
                <w:rFonts w:ascii="Times New Roman" w:eastAsia="Times New Roman" w:hAnsi="Times New Roman" w:cs="Times New Roman"/>
                <w:color w:val="FF0000"/>
                <w:u w:val="single"/>
              </w:rPr>
              <w:t xml:space="preserve">For an aperiodic SRS triggered in DCI format 1_1 or 1_2, if it is configured by </w:t>
            </w:r>
            <w:r w:rsidRPr="004875AD">
              <w:rPr>
                <w:rFonts w:ascii="Times New Roman" w:eastAsia="Times New Roman" w:hAnsi="Times New Roman" w:cs="Times New Roman"/>
                <w:i/>
                <w:iCs/>
                <w:color w:val="FF0000"/>
                <w:u w:val="single"/>
              </w:rPr>
              <w:t>SRS-</w:t>
            </w:r>
            <w:proofErr w:type="spellStart"/>
            <w:r w:rsidRPr="004875AD">
              <w:rPr>
                <w:rFonts w:ascii="Times New Roman" w:eastAsia="Times New Roman" w:hAnsi="Times New Roman" w:cs="Times New Roman"/>
                <w:i/>
                <w:iCs/>
                <w:color w:val="FF0000"/>
                <w:u w:val="single"/>
              </w:rPr>
              <w:t>CarrierSwitching</w:t>
            </w:r>
            <w:proofErr w:type="spellEnd"/>
            <w:r w:rsidRPr="004875AD">
              <w:rPr>
                <w:rFonts w:ascii="Times New Roman" w:eastAsia="Times New Roman" w:hAnsi="Times New Roman" w:cs="Times New Roman"/>
                <w:color w:val="FF0000"/>
                <w:u w:val="single"/>
              </w:rPr>
              <w:t>, the UE transmits SRS on one serving cell not configured for PUSCH/PUCCH transmission scheduled by the DCI and the UE in the serving cell transmits the configured one or two SRS resource set(s) with higher layer parameter usage set to ‘</w:t>
            </w:r>
            <w:proofErr w:type="spellStart"/>
            <w:r w:rsidRPr="004875AD">
              <w:rPr>
                <w:rFonts w:ascii="Times New Roman" w:eastAsia="Times New Roman" w:hAnsi="Times New Roman" w:cs="Times New Roman"/>
                <w:color w:val="FF0000"/>
                <w:u w:val="single"/>
              </w:rPr>
              <w:t>antennaSwitching</w:t>
            </w:r>
            <w:proofErr w:type="spellEnd"/>
            <w:r w:rsidRPr="004875AD">
              <w:rPr>
                <w:rFonts w:ascii="Times New Roman" w:eastAsia="Times New Roman" w:hAnsi="Times New Roman" w:cs="Times New Roman"/>
                <w:color w:val="FF0000"/>
                <w:u w:val="single"/>
              </w:rPr>
              <w:t xml:space="preserve">’ and higher layer parameter </w:t>
            </w:r>
            <w:proofErr w:type="spellStart"/>
            <w:r w:rsidRPr="004875AD">
              <w:rPr>
                <w:rFonts w:ascii="Times New Roman" w:eastAsia="Times New Roman" w:hAnsi="Times New Roman" w:cs="Times New Roman"/>
                <w:i/>
                <w:iCs/>
                <w:color w:val="FF0000"/>
                <w:u w:val="single"/>
              </w:rPr>
              <w:t>resourceType</w:t>
            </w:r>
            <w:proofErr w:type="spellEnd"/>
            <w:r w:rsidRPr="004875AD">
              <w:rPr>
                <w:rFonts w:ascii="Times New Roman" w:eastAsia="Times New Roman" w:hAnsi="Times New Roman" w:cs="Times New Roman"/>
                <w:color w:val="FF0000"/>
                <w:u w:val="single"/>
              </w:rPr>
              <w:t xml:space="preserve"> in </w:t>
            </w:r>
            <w:r w:rsidRPr="004875AD">
              <w:rPr>
                <w:rFonts w:ascii="Times New Roman" w:eastAsia="Times New Roman" w:hAnsi="Times New Roman" w:cs="Times New Roman"/>
                <w:i/>
                <w:iCs/>
                <w:color w:val="FF0000"/>
                <w:u w:val="single"/>
              </w:rPr>
              <w:t>SRS-</w:t>
            </w:r>
            <w:proofErr w:type="spellStart"/>
            <w:r w:rsidRPr="004875AD">
              <w:rPr>
                <w:rFonts w:ascii="Times New Roman" w:eastAsia="Times New Roman" w:hAnsi="Times New Roman" w:cs="Times New Roman"/>
                <w:i/>
                <w:iCs/>
                <w:color w:val="FF0000"/>
                <w:u w:val="single"/>
              </w:rPr>
              <w:t>ResourceSet</w:t>
            </w:r>
            <w:proofErr w:type="spellEnd"/>
            <w:r w:rsidRPr="004875AD">
              <w:rPr>
                <w:rFonts w:ascii="Times New Roman" w:eastAsia="Times New Roman" w:hAnsi="Times New Roman" w:cs="Times New Roman"/>
                <w:color w:val="FF0000"/>
                <w:u w:val="single"/>
              </w:rPr>
              <w:t xml:space="preserve"> set to ‘aperiodic’.</w:t>
            </w:r>
          </w:p>
          <w:p w14:paraId="0A21C820" w14:textId="5906BA19" w:rsidR="004875AD" w:rsidRPr="004875AD" w:rsidRDefault="004875AD" w:rsidP="004875AD">
            <w:pPr>
              <w:autoSpaceDN w:val="0"/>
              <w:spacing w:afterLines="50" w:after="120" w:line="240" w:lineRule="auto"/>
              <w:rPr>
                <w:rFonts w:ascii="Times New Roman" w:eastAsia="SimSun" w:hAnsi="Times New Roman" w:cs="Times New Roman"/>
                <w:szCs w:val="20"/>
                <w:lang w:val="en-GB"/>
              </w:rPr>
            </w:pPr>
            <w:bookmarkStart w:id="1" w:name="_Hlk505675046"/>
            <w:r w:rsidRPr="004875AD">
              <w:rPr>
                <w:rFonts w:ascii="Times New Roman" w:eastAsia="SimSun" w:hAnsi="Times New Roman" w:cs="Times New Roman"/>
                <w:color w:val="000000"/>
              </w:rPr>
              <w:t>If the UE is not configured for PUSCH/PUCCH transmission on carrier</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 xml:space="preserve">1 </w:t>
            </w:r>
            <w:r w:rsidRPr="004875AD">
              <w:rPr>
                <w:rFonts w:ascii="Times New Roman" w:eastAsia="SimSun" w:hAnsi="Times New Roman" w:cs="Times New Roman"/>
                <w:color w:val="000000"/>
              </w:rPr>
              <w:t xml:space="preserve">with slot formats comprised of DL and UL symbols, and if the UE is not capable of simultaneous reception and transmission on carrier </w:t>
            </w:r>
            <w:r w:rsidRPr="004875AD">
              <w:rPr>
                <w:rFonts w:ascii="Times New Roman" w:eastAsia="SimSun" w:hAnsi="Times New Roman" w:cs="Times New Roman"/>
                <w:i/>
                <w:iCs/>
                <w:color w:val="000000"/>
              </w:rPr>
              <w:t>c</w:t>
            </w:r>
            <w:r w:rsidRPr="004875AD">
              <w:rPr>
                <w:rFonts w:ascii="Times New Roman" w:eastAsia="SimSun" w:hAnsi="Times New Roman" w:cs="Times New Roman"/>
                <w:i/>
                <w:iCs/>
                <w:color w:val="000000"/>
                <w:vertAlign w:val="subscript"/>
              </w:rPr>
              <w:t>1</w:t>
            </w:r>
            <w:r w:rsidRPr="004875AD">
              <w:rPr>
                <w:rFonts w:ascii="Times New Roman" w:eastAsia="SimSun" w:hAnsi="Times New Roman" w:cs="Times New Roman"/>
                <w:color w:val="000000"/>
                <w:vertAlign w:val="subscript"/>
              </w:rPr>
              <w:t xml:space="preserve"> </w:t>
            </w:r>
            <w:r w:rsidRPr="004875AD">
              <w:rPr>
                <w:rFonts w:ascii="Times New Roman" w:eastAsia="SimSun" w:hAnsi="Times New Roman" w:cs="Times New Roman"/>
                <w:color w:val="000000"/>
              </w:rPr>
              <w:t>and serving cell</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2</w:t>
            </w:r>
            <w:r w:rsidRPr="004875AD">
              <w:rPr>
                <w:rFonts w:ascii="Times New Roman" w:eastAsia="SimSun" w:hAnsi="Times New Roman" w:cs="Times New Roman"/>
                <w:color w:val="000000"/>
              </w:rPr>
              <w:t>, the UE is not expected to be configured or indicated with SRS resource(s) such that SRS transmission on carrier</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1</w:t>
            </w:r>
            <w:r w:rsidRPr="004875AD">
              <w:rPr>
                <w:rFonts w:ascii="Times New Roman" w:eastAsia="SimSun" w:hAnsi="Times New Roman" w:cs="Times New Roman"/>
                <w:color w:val="000000"/>
              </w:rPr>
              <w:t xml:space="preserve"> (including any interruption due to uplink or downlink RF retuning time [11, TS 38.133] as defined by higher layer parameters </w:t>
            </w:r>
            <w:proofErr w:type="spellStart"/>
            <w:r w:rsidRPr="004875AD">
              <w:rPr>
                <w:rFonts w:ascii="Times New Roman" w:eastAsia="SimSun" w:hAnsi="Times New Roman" w:cs="Times New Roman"/>
                <w:i/>
                <w:szCs w:val="20"/>
                <w:lang w:val="en-GB"/>
              </w:rPr>
              <w:t>switchingTimeUL</w:t>
            </w:r>
            <w:proofErr w:type="spellEnd"/>
            <w:r w:rsidRPr="004875AD">
              <w:rPr>
                <w:rFonts w:ascii="Times New Roman" w:eastAsia="SimSun" w:hAnsi="Times New Roman" w:cs="Times New Roman"/>
                <w:color w:val="000000"/>
                <w:szCs w:val="20"/>
                <w:lang w:val="en-GB"/>
              </w:rPr>
              <w:t xml:space="preserve"> and </w:t>
            </w:r>
            <w:proofErr w:type="spellStart"/>
            <w:r w:rsidRPr="004875AD">
              <w:rPr>
                <w:rFonts w:ascii="Times New Roman" w:eastAsia="SimSun" w:hAnsi="Times New Roman" w:cs="Times New Roman"/>
                <w:i/>
                <w:szCs w:val="20"/>
                <w:lang w:val="en-GB"/>
              </w:rPr>
              <w:t>switchingTimeDL</w:t>
            </w:r>
            <w:proofErr w:type="spellEnd"/>
            <w:r w:rsidRPr="004875AD">
              <w:rPr>
                <w:rFonts w:ascii="Times New Roman" w:eastAsia="SimSun" w:hAnsi="Times New Roman" w:cs="Times New Roman"/>
                <w:color w:val="000000"/>
                <w:szCs w:val="20"/>
                <w:lang w:val="en-GB"/>
              </w:rPr>
              <w:t xml:space="preserve"> of </w:t>
            </w:r>
            <w:r w:rsidRPr="004875AD">
              <w:rPr>
                <w:rFonts w:ascii="Times New Roman" w:eastAsia="SimSun" w:hAnsi="Times New Roman" w:cs="Times New Roman"/>
                <w:i/>
                <w:color w:val="000000"/>
                <w:szCs w:val="20"/>
                <w:lang w:val="en-GB"/>
              </w:rPr>
              <w:t>SRS-</w:t>
            </w:r>
            <w:proofErr w:type="spellStart"/>
            <w:r w:rsidRPr="004875AD">
              <w:rPr>
                <w:rFonts w:ascii="Times New Roman" w:eastAsia="SimSun" w:hAnsi="Times New Roman" w:cs="Times New Roman"/>
                <w:i/>
                <w:color w:val="000000"/>
                <w:szCs w:val="20"/>
                <w:lang w:val="en-GB"/>
              </w:rPr>
              <w:t>SwitchingTimeNR</w:t>
            </w:r>
            <w:proofErr w:type="spellEnd"/>
            <w:r w:rsidRPr="004875AD">
              <w:rPr>
                <w:rFonts w:ascii="Times New Roman" w:eastAsia="SimSun" w:hAnsi="Times New Roman" w:cs="Times New Roman"/>
                <w:color w:val="000000"/>
              </w:rPr>
              <w:t xml:space="preserve">) would collide with the REs corresponding to the SS/PBCH blocks configured for the UE or the slots belonging to a control resource set indicated by </w:t>
            </w:r>
            <w:r w:rsidRPr="004875AD">
              <w:rPr>
                <w:rFonts w:ascii="Times New Roman" w:eastAsia="SimSun" w:hAnsi="Times New Roman" w:cs="Times New Roman"/>
                <w:i/>
                <w:szCs w:val="20"/>
                <w:lang w:val="en-GB"/>
              </w:rPr>
              <w:t>MIB</w:t>
            </w:r>
            <w:r w:rsidRPr="004875AD">
              <w:rPr>
                <w:rFonts w:ascii="Times New Roman" w:eastAsia="SimSun" w:hAnsi="Times New Roman" w:cs="Times New Roman"/>
                <w:color w:val="000000"/>
              </w:rPr>
              <w:t xml:space="preserve"> or </w:t>
            </w:r>
            <w:r w:rsidRPr="004875AD">
              <w:rPr>
                <w:rFonts w:ascii="Times New Roman" w:eastAsia="SimSun" w:hAnsi="Times New Roman" w:cs="Times New Roman"/>
                <w:i/>
                <w:szCs w:val="20"/>
                <w:lang w:val="en-GB"/>
              </w:rPr>
              <w:t>SIB1</w:t>
            </w:r>
            <w:r w:rsidRPr="004875AD">
              <w:rPr>
                <w:rFonts w:ascii="Times New Roman" w:eastAsia="SimSun" w:hAnsi="Times New Roman" w:cs="Times New Roman"/>
                <w:color w:val="000000"/>
              </w:rPr>
              <w:t xml:space="preserve"> on serving cell</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2</w:t>
            </w:r>
            <w:r w:rsidRPr="004875AD">
              <w:rPr>
                <w:rFonts w:ascii="Times New Roman" w:eastAsia="SimSun" w:hAnsi="Times New Roman" w:cs="Times New Roman"/>
                <w:color w:val="000000"/>
              </w:rPr>
              <w:t>.</w:t>
            </w:r>
            <w:bookmarkEnd w:id="1"/>
          </w:p>
        </w:tc>
      </w:tr>
    </w:tbl>
    <w:p w14:paraId="5C8640F5" w14:textId="77777777" w:rsidR="00E17A7E" w:rsidRDefault="00E17A7E" w:rsidP="00961F53">
      <w:pPr>
        <w:spacing w:after="0"/>
      </w:pPr>
    </w:p>
    <w:p w14:paraId="586F46B1" w14:textId="5B337D9F" w:rsidR="0065742C" w:rsidRDefault="00156561" w:rsidP="00156561">
      <w:pPr>
        <w:pStyle w:val="Heading2"/>
      </w:pPr>
      <w:r>
        <w:t xml:space="preserve">2.3 </w:t>
      </w:r>
      <w:r w:rsidR="0065742C">
        <w:t xml:space="preserve">Support for available slots in SRS carrier </w:t>
      </w:r>
      <w:proofErr w:type="gramStart"/>
      <w:r w:rsidR="0065742C">
        <w:t>switching</w:t>
      </w:r>
      <w:proofErr w:type="gramEnd"/>
    </w:p>
    <w:p w14:paraId="1036E71D" w14:textId="78DF962F" w:rsidR="0065742C" w:rsidRDefault="0065742C" w:rsidP="0065742C">
      <w:pPr>
        <w:pStyle w:val="ListBullet"/>
        <w:numPr>
          <w:ilvl w:val="0"/>
          <w:numId w:val="0"/>
        </w:numPr>
        <w:rPr>
          <w:lang w:val="en-GB"/>
        </w:rPr>
      </w:pPr>
      <w:r>
        <w:rPr>
          <w:lang w:val="en-GB"/>
        </w:rPr>
        <w:t>During RAN1#114bis, it was also noticed that Rel-17 SRS supports available slot triggering, and whether this can apply to DCI 1_1/1_2 based SRS carrier switching should be further discussed.  Therefore, the Moderator suggested to further investigate the issue in RAN1#115 with the following:</w:t>
      </w:r>
    </w:p>
    <w:p w14:paraId="4F7A186D" w14:textId="4E5BEB69" w:rsidR="0065742C" w:rsidRDefault="0065742C" w:rsidP="0065742C">
      <w:pPr>
        <w:pStyle w:val="ListBullet"/>
        <w:numPr>
          <w:ilvl w:val="0"/>
          <w:numId w:val="0"/>
        </w:numPr>
        <w:rPr>
          <w:lang w:val="en-GB"/>
        </w:rPr>
      </w:pPr>
    </w:p>
    <w:tbl>
      <w:tblPr>
        <w:tblStyle w:val="TableGrid"/>
        <w:tblW w:w="0" w:type="auto"/>
        <w:tblLook w:val="04A0" w:firstRow="1" w:lastRow="0" w:firstColumn="1" w:lastColumn="0" w:noHBand="0" w:noVBand="1"/>
      </w:tblPr>
      <w:tblGrid>
        <w:gridCol w:w="9629"/>
      </w:tblGrid>
      <w:tr w:rsidR="0065742C" w14:paraId="5570BB91" w14:textId="77777777" w:rsidTr="0065742C">
        <w:tc>
          <w:tcPr>
            <w:tcW w:w="9629" w:type="dxa"/>
          </w:tcPr>
          <w:p w14:paraId="24259A80" w14:textId="14D626B8" w:rsidR="0065742C" w:rsidRPr="0065742C" w:rsidRDefault="0065742C" w:rsidP="0065742C">
            <w:pPr>
              <w:pStyle w:val="ListBullet"/>
              <w:numPr>
                <w:ilvl w:val="0"/>
                <w:numId w:val="0"/>
              </w:numPr>
              <w:rPr>
                <w:b/>
                <w:bCs/>
                <w:sz w:val="20"/>
                <w:szCs w:val="20"/>
                <w:u w:val="single"/>
                <w:lang w:val="en-GB"/>
              </w:rPr>
            </w:pPr>
            <w:r w:rsidRPr="0065742C">
              <w:rPr>
                <w:b/>
                <w:bCs/>
                <w:sz w:val="20"/>
                <w:szCs w:val="20"/>
                <w:u w:val="single"/>
                <w:lang w:val="en-GB"/>
              </w:rPr>
              <w:t>Proposal#4</w:t>
            </w:r>
            <w:r w:rsidR="009706B4">
              <w:rPr>
                <w:b/>
                <w:bCs/>
                <w:sz w:val="20"/>
                <w:szCs w:val="20"/>
                <w:u w:val="single"/>
                <w:lang w:val="en-GB"/>
              </w:rPr>
              <w:t xml:space="preserve"> (RAN1#114bis)</w:t>
            </w:r>
          </w:p>
          <w:p w14:paraId="06285C7C" w14:textId="4F034ED4" w:rsidR="0065742C" w:rsidRPr="0065742C" w:rsidRDefault="0065742C" w:rsidP="0065742C">
            <w:pPr>
              <w:pStyle w:val="ListBullet"/>
              <w:numPr>
                <w:ilvl w:val="0"/>
                <w:numId w:val="0"/>
              </w:numPr>
              <w:rPr>
                <w:sz w:val="20"/>
                <w:szCs w:val="20"/>
                <w:lang w:val="en-GB"/>
              </w:rPr>
            </w:pPr>
            <w:r w:rsidRPr="0065742C">
              <w:rPr>
                <w:sz w:val="20"/>
                <w:szCs w:val="20"/>
                <w:lang w:val="en-GB"/>
              </w:rPr>
              <w:t>Further discuss in RAN1#115 if available slot operation can be applied to aperiodic SRS carrier switching triggered by DCI 1_1/1_2.</w:t>
            </w:r>
          </w:p>
        </w:tc>
      </w:tr>
    </w:tbl>
    <w:p w14:paraId="3762FB94" w14:textId="6B5A2DD6" w:rsidR="0065742C" w:rsidRDefault="0065742C" w:rsidP="0065742C">
      <w:pPr>
        <w:pStyle w:val="ListBullet"/>
        <w:numPr>
          <w:ilvl w:val="0"/>
          <w:numId w:val="0"/>
        </w:numPr>
        <w:rPr>
          <w:lang w:val="en-GB"/>
        </w:rPr>
      </w:pPr>
    </w:p>
    <w:p w14:paraId="1B3629CF" w14:textId="1D74DCC5" w:rsidR="00C04F3E" w:rsidRDefault="00C04F3E" w:rsidP="0065742C">
      <w:pPr>
        <w:pStyle w:val="ListBullet"/>
        <w:numPr>
          <w:ilvl w:val="0"/>
          <w:numId w:val="0"/>
        </w:numPr>
        <w:rPr>
          <w:lang w:val="en-GB"/>
        </w:rPr>
      </w:pPr>
      <w:r>
        <w:rPr>
          <w:lang w:val="en-GB"/>
        </w:rPr>
        <w:t xml:space="preserve">Available slot operation allows more flexible triggering of aperiodic SRS since an offset can be dynamically indicated in DCI, whereas Rel-15 operation uses a configured value of the time offset from the triggering PDCCH.  As can be observed below in the excerpt from 38.214 section 6.2.1 it is only supported for DCI </w:t>
      </w:r>
      <w:r>
        <w:rPr>
          <w:lang w:val="en-GB"/>
        </w:rPr>
        <w:lastRenderedPageBreak/>
        <w:t>scheduling PUSCH/PDSCH and DCI 0_1/0_2 SRS-only transmission, and so is not supported for SRS carrier switching with DCI format 2_3.</w:t>
      </w:r>
    </w:p>
    <w:tbl>
      <w:tblPr>
        <w:tblStyle w:val="TableGrid"/>
        <w:tblW w:w="0" w:type="auto"/>
        <w:tblLook w:val="04A0" w:firstRow="1" w:lastRow="0" w:firstColumn="1" w:lastColumn="0" w:noHBand="0" w:noVBand="1"/>
      </w:tblPr>
      <w:tblGrid>
        <w:gridCol w:w="9629"/>
      </w:tblGrid>
      <w:tr w:rsidR="00C04F3E" w14:paraId="0CA513CC" w14:textId="77777777" w:rsidTr="00C04F3E">
        <w:tc>
          <w:tcPr>
            <w:tcW w:w="9629" w:type="dxa"/>
          </w:tcPr>
          <w:p w14:paraId="5069F9E8" w14:textId="34278434" w:rsidR="00C04F3E" w:rsidRPr="00C04F3E" w:rsidRDefault="00C04F3E" w:rsidP="00C04F3E">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rPr>
              <w:t>availableSlotOffset</w:t>
            </w:r>
            <w:r>
              <w:rPr>
                <w:i/>
                <w:color w:val="000000" w:themeColor="text1"/>
              </w:rPr>
              <w:t>List</w:t>
            </w:r>
            <w:proofErr w:type="spellEnd"/>
            <w:r w:rsidRPr="00FC6A15">
              <w:rPr>
                <w:i/>
                <w:color w:val="000000" w:themeColor="text1"/>
              </w:rPr>
              <w:t xml:space="preserve"> </w:t>
            </w:r>
            <w:r w:rsidRPr="00FC6A15">
              <w:rPr>
                <w:iCs/>
                <w:color w:val="000000" w:themeColor="text1"/>
              </w:rPr>
              <w:t xml:space="preserve">with </w:t>
            </w:r>
            <w:r>
              <w:rPr>
                <w:iCs/>
                <w:color w:val="000000" w:themeColor="text1"/>
              </w:rPr>
              <w:t xml:space="preserve">up to </w:t>
            </w:r>
            <w:r w:rsidRPr="00FC6A15">
              <w:rPr>
                <w:iCs/>
                <w:color w:val="000000" w:themeColor="text1"/>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w:t>
            </w:r>
            <w:proofErr w:type="gramStart"/>
            <w:r w:rsidRPr="00FC6A15">
              <w:rPr>
                <w:color w:val="000000" w:themeColor="text1"/>
              </w:rPr>
              <w:t>set</w:t>
            </w:r>
            <w:proofErr w:type="gramEnd"/>
            <w:r w:rsidRPr="00FC6A15">
              <w:rPr>
                <w:color w:val="000000" w:themeColor="text1"/>
              </w:rPr>
              <w:t xml:space="preserve"> and </w:t>
            </w:r>
            <w:r>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eastAsia="zh-CN"/>
              </w:rPr>
              <w:t xml:space="preserve"> are configured</w:t>
            </w:r>
            <w:r>
              <w:rPr>
                <w:color w:val="000000" w:themeColor="text1"/>
                <w:lang w:eastAsia="zh-CN"/>
              </w:rPr>
              <w:t>,</w:t>
            </w:r>
            <w:r w:rsidRPr="00FC6A15">
              <w:rPr>
                <w:rFonts w:hint="eastAsia"/>
                <w:color w:val="000000" w:themeColor="text1"/>
                <w:lang w:eastAsia="zh-CN"/>
              </w:rPr>
              <w:t xml:space="preserve"> and at least one resource set is configured with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of more than one values, </w:t>
            </w:r>
            <w:r w:rsidRPr="00C04F3E">
              <w:rPr>
                <w:rFonts w:hint="eastAsia"/>
                <w:color w:val="000000" w:themeColor="text1"/>
                <w:highlight w:val="yellow"/>
                <w:lang w:val="en-AU" w:eastAsia="zh-CN"/>
              </w:rPr>
              <w:t xml:space="preserve">the indicated value of </w:t>
            </w:r>
            <w:r w:rsidRPr="00C04F3E">
              <w:rPr>
                <w:i/>
                <w:iCs/>
                <w:color w:val="000000" w:themeColor="text1"/>
                <w:highlight w:val="yellow"/>
                <w:lang w:eastAsia="zh-CN"/>
              </w:rPr>
              <w:t>t</w:t>
            </w:r>
            <w:r w:rsidRPr="00C04F3E">
              <w:rPr>
                <w:rFonts w:hint="eastAsia"/>
                <w:i/>
                <w:iCs/>
                <w:color w:val="000000" w:themeColor="text1"/>
                <w:highlight w:val="yellow"/>
                <w:lang w:eastAsia="zh-CN"/>
              </w:rPr>
              <w:t xml:space="preserve"> </w:t>
            </w:r>
            <w:r w:rsidRPr="00C04F3E">
              <w:rPr>
                <w:rFonts w:hint="eastAsia"/>
                <w:color w:val="000000" w:themeColor="text1"/>
                <w:highlight w:val="yellow"/>
                <w:lang w:eastAsia="zh-CN"/>
              </w:rPr>
              <w:t>is indicated by SOI field in DCI scheduling PUSCH/PDSCH and DCI 0_1/0_2 without data and without CSI request described in [5, TS 38.212]</w:t>
            </w:r>
            <w:r w:rsidRPr="005701D4">
              <w:rPr>
                <w:rFonts w:hint="eastAsia"/>
                <w:color w:val="000000" w:themeColor="text1"/>
                <w:lang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eastAsia="zh-CN"/>
              </w:rPr>
              <w:t xml:space="preserve"> </w:t>
            </w:r>
            <w:r w:rsidRPr="00FC6A15">
              <w:rPr>
                <w:rFonts w:hint="eastAsia"/>
                <w:color w:val="000000" w:themeColor="text1"/>
                <w:lang w:eastAsia="zh-CN"/>
              </w:rPr>
              <w:t>specifically</w:t>
            </w:r>
            <w:r w:rsidRPr="00FC6A15">
              <w:rPr>
                <w:rFonts w:hint="eastAsia"/>
                <w:i/>
                <w:iCs/>
                <w:color w:val="000000" w:themeColor="text1"/>
                <w:lang w:eastAsia="zh-CN"/>
              </w:rPr>
              <w:t xml:space="preserve"> </w:t>
            </w:r>
            <w:r w:rsidRPr="00FC6A15">
              <w:rPr>
                <w:rFonts w:hint="eastAsia"/>
                <w:color w:val="000000" w:themeColor="text1"/>
                <w:lang w:eastAsia="zh-CN"/>
              </w:rPr>
              <w:t xml:space="preserve">for those sets with configured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eastAsia="zh-CN"/>
              </w:rPr>
              <w:t xml:space="preserve">one or more SRS resource sets </w:t>
            </w:r>
            <w:r>
              <w:rPr>
                <w:color w:val="000000" w:themeColor="text1"/>
                <w:lang w:eastAsia="zh-CN"/>
              </w:rPr>
              <w:t>across all configured BWPs in a</w:t>
            </w:r>
            <w:r w:rsidRPr="00FC6A15">
              <w:rPr>
                <w:rFonts w:hint="eastAsia"/>
                <w:color w:val="000000" w:themeColor="text1"/>
                <w:lang w:eastAsia="zh-CN"/>
              </w:rPr>
              <w:t xml:space="preserve"> component carrier are configured and at least one resource set is configured with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eastAsia="zh-CN"/>
              </w:rPr>
              <w:t>specifically</w:t>
            </w:r>
            <w:r w:rsidRPr="00FC6A15">
              <w:rPr>
                <w:rFonts w:hint="eastAsia"/>
                <w:i/>
                <w:iCs/>
                <w:color w:val="000000" w:themeColor="text1"/>
                <w:lang w:eastAsia="zh-CN"/>
              </w:rPr>
              <w:t xml:space="preserve"> </w:t>
            </w:r>
            <w:r w:rsidRPr="00FC6A15">
              <w:rPr>
                <w:rFonts w:hint="eastAsia"/>
                <w:color w:val="000000" w:themeColor="text1"/>
                <w:lang w:eastAsia="zh-CN"/>
              </w:rPr>
              <w:t xml:space="preserve">for those sets with configured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tc>
      </w:tr>
    </w:tbl>
    <w:p w14:paraId="78909797" w14:textId="77777777" w:rsidR="00C04F3E" w:rsidRDefault="00C04F3E" w:rsidP="0065742C">
      <w:pPr>
        <w:pStyle w:val="ListBullet"/>
        <w:numPr>
          <w:ilvl w:val="0"/>
          <w:numId w:val="0"/>
        </w:numPr>
        <w:rPr>
          <w:lang w:val="en-GB"/>
        </w:rPr>
      </w:pPr>
    </w:p>
    <w:p w14:paraId="69011D8F" w14:textId="6C8D0DCF" w:rsidR="00C04F3E" w:rsidRDefault="00C04F3E" w:rsidP="0065742C">
      <w:pPr>
        <w:pStyle w:val="ListBullet"/>
        <w:numPr>
          <w:ilvl w:val="0"/>
          <w:numId w:val="0"/>
        </w:numPr>
        <w:rPr>
          <w:lang w:val="en-GB"/>
        </w:rPr>
      </w:pPr>
      <w:r>
        <w:rPr>
          <w:lang w:val="en-GB"/>
        </w:rPr>
        <w:t xml:space="preserve">The timing of SRS carrier switching is described in 38.214 section 6.2.1.3 with the following.  </w:t>
      </w:r>
      <w:r w:rsidR="002F1510">
        <w:rPr>
          <w:lang w:val="en-GB"/>
        </w:rPr>
        <w:t xml:space="preserve">We observe that the timing for SRS carrier switching is such that the transmission of the SRS is no earlier than the sum of the UE capability for the </w:t>
      </w:r>
      <w:r w:rsidR="002F1510" w:rsidRPr="002F1510">
        <w:rPr>
          <w:lang w:val="en-GB"/>
        </w:rPr>
        <w:t>minimum time interval between the DCI triggering and aperiodic SRS transmission</w:t>
      </w:r>
      <w:r w:rsidR="002F1510">
        <w:rPr>
          <w:lang w:val="en-GB"/>
        </w:rPr>
        <w:t xml:space="preserve"> and the capability for switching time.  This </w:t>
      </w:r>
      <w:proofErr w:type="spellStart"/>
      <w:r w:rsidR="002F1510">
        <w:rPr>
          <w:lang w:val="en-GB"/>
        </w:rPr>
        <w:t>behavior</w:t>
      </w:r>
      <w:proofErr w:type="spellEnd"/>
      <w:r w:rsidR="002F1510">
        <w:rPr>
          <w:lang w:val="en-GB"/>
        </w:rPr>
        <w:t xml:space="preserve"> is different than the timing with SRS offset indication in available slot operation, </w:t>
      </w:r>
      <w:proofErr w:type="gramStart"/>
      <w:r w:rsidR="002F1510">
        <w:rPr>
          <w:lang w:val="en-GB"/>
        </w:rPr>
        <w:t>and also</w:t>
      </w:r>
      <w:proofErr w:type="gramEnd"/>
      <w:r w:rsidR="002F1510">
        <w:rPr>
          <w:lang w:val="en-GB"/>
        </w:rPr>
        <w:t xml:space="preserve"> does not take into account the configured values in </w:t>
      </w:r>
      <w:proofErr w:type="spellStart"/>
      <w:r w:rsidR="002F1510" w:rsidRPr="002F1510">
        <w:rPr>
          <w:i/>
          <w:iCs/>
          <w:lang w:val="en-GB"/>
        </w:rPr>
        <w:t>availableSlotOffsetList</w:t>
      </w:r>
      <w:proofErr w:type="spellEnd"/>
      <w:r w:rsidR="002F1510">
        <w:rPr>
          <w:lang w:val="en-GB"/>
        </w:rPr>
        <w:t>.  Consequently, it does not appear that SRS carrier switching supports Rel-17 available slot operation for SRS.</w:t>
      </w:r>
    </w:p>
    <w:p w14:paraId="7A57B0C3" w14:textId="77777777" w:rsidR="002F1510" w:rsidRDefault="002F1510" w:rsidP="0065742C">
      <w:pPr>
        <w:pStyle w:val="ListBullet"/>
        <w:numPr>
          <w:ilvl w:val="0"/>
          <w:numId w:val="0"/>
        </w:numPr>
        <w:rPr>
          <w:lang w:val="en-GB"/>
        </w:rPr>
      </w:pPr>
    </w:p>
    <w:tbl>
      <w:tblPr>
        <w:tblStyle w:val="TableGrid"/>
        <w:tblW w:w="0" w:type="auto"/>
        <w:tblLook w:val="04A0" w:firstRow="1" w:lastRow="0" w:firstColumn="1" w:lastColumn="0" w:noHBand="0" w:noVBand="1"/>
      </w:tblPr>
      <w:tblGrid>
        <w:gridCol w:w="9629"/>
      </w:tblGrid>
      <w:tr w:rsidR="00C04F3E" w14:paraId="6D7BAEAE" w14:textId="77777777" w:rsidTr="00C04F3E">
        <w:tc>
          <w:tcPr>
            <w:tcW w:w="9629" w:type="dxa"/>
          </w:tcPr>
          <w:p w14:paraId="3CE92AEB" w14:textId="77777777" w:rsidR="00C04F3E" w:rsidRPr="00C04F3E" w:rsidRDefault="00C04F3E" w:rsidP="00C04F3E">
            <w:pPr>
              <w:autoSpaceDN w:val="0"/>
              <w:spacing w:afterLines="50" w:after="120"/>
              <w:rPr>
                <w:rFonts w:ascii="Times New Roman" w:hAnsi="Times New Roman" w:cs="Times New Roman"/>
                <w:lang w:eastAsia="en-GB"/>
              </w:rPr>
            </w:pPr>
            <w:r w:rsidRPr="00C04F3E">
              <w:rPr>
                <w:rFonts w:ascii="Times New Roman" w:hAnsi="Times New Roman" w:cs="Times New Roman"/>
                <w:lang w:eastAsia="en-GB"/>
              </w:rPr>
              <w:t xml:space="preserve">For </w:t>
            </w:r>
            <w:r w:rsidRPr="00C04F3E">
              <w:rPr>
                <w:rFonts w:ascii="Times New Roman" w:hAnsi="Times New Roman" w:cs="Times New Roman"/>
                <w:i/>
                <w:lang w:eastAsia="en-GB"/>
              </w:rPr>
              <w:t>n</w:t>
            </w:r>
            <w:r w:rsidRPr="00C04F3E">
              <w:rPr>
                <w:rFonts w:ascii="Times New Roman" w:hAnsi="Times New Roman" w:cs="Times New Roman"/>
                <w:lang w:eastAsia="en-GB"/>
              </w:rPr>
              <w:t>-</w:t>
            </w:r>
            <w:proofErr w:type="spellStart"/>
            <w:r w:rsidRPr="00C04F3E">
              <w:rPr>
                <w:rFonts w:ascii="Times New Roman" w:hAnsi="Times New Roman" w:cs="Times New Roman"/>
                <w:lang w:eastAsia="en-GB"/>
              </w:rPr>
              <w:t>th</w:t>
            </w:r>
            <w:proofErr w:type="spellEnd"/>
            <w:r w:rsidRPr="00C04F3E">
              <w:rPr>
                <w:rFonts w:ascii="Times New Roman" w:hAnsi="Times New Roman" w:cs="Times New Roman"/>
                <w:lang w:eastAsia="en-GB"/>
              </w:rPr>
              <w:t xml:space="preserve"> (</w:t>
            </w:r>
            <w:r w:rsidRPr="00C04F3E">
              <w:rPr>
                <w:rFonts w:ascii="Times New Roman" w:hAnsi="Times New Roman" w:cs="Times New Roman"/>
                <w:i/>
                <w:lang w:eastAsia="en-GB"/>
              </w:rPr>
              <w:t xml:space="preserve">n ≥ </w:t>
            </w:r>
            <w:r w:rsidRPr="00C04F3E">
              <w:rPr>
                <w:rFonts w:ascii="Times New Roman" w:hAnsi="Times New Roman" w:cs="Times New Roman"/>
                <w:lang w:eastAsia="en-GB"/>
              </w:rPr>
              <w:t xml:space="preserve">1) aperiodic SRS transmission on a cell </w:t>
            </w:r>
            <w:r w:rsidRPr="00C04F3E">
              <w:rPr>
                <w:rFonts w:ascii="Times New Roman" w:hAnsi="Times New Roman" w:cs="Times New Roman"/>
                <w:i/>
                <w:lang w:eastAsia="en-GB"/>
              </w:rPr>
              <w:t>c</w:t>
            </w:r>
            <w:r w:rsidRPr="00C04F3E">
              <w:rPr>
                <w:rFonts w:ascii="Times New Roman" w:hAnsi="Times New Roman" w:cs="Times New Roman"/>
                <w:lang w:eastAsia="en-GB"/>
              </w:rPr>
              <w:t xml:space="preserve">, upon detection of a positive SRS request on a grant, the UE shall commence this SRS transmission on the configured symbol and slot </w:t>
            </w:r>
            <w:proofErr w:type="gramStart"/>
            <w:r w:rsidRPr="00C04F3E">
              <w:rPr>
                <w:rFonts w:ascii="Times New Roman" w:hAnsi="Times New Roman" w:cs="Times New Roman"/>
                <w:lang w:eastAsia="en-GB"/>
              </w:rPr>
              <w:t>provided</w:t>
            </w:r>
            <w:proofErr w:type="gramEnd"/>
          </w:p>
          <w:p w14:paraId="58204DD0" w14:textId="77777777" w:rsidR="00C04F3E" w:rsidRPr="00C04F3E" w:rsidRDefault="00C04F3E" w:rsidP="00C04F3E">
            <w:pPr>
              <w:pStyle w:val="B1"/>
              <w:rPr>
                <w:rFonts w:cs="Times New Roman"/>
              </w:rPr>
            </w:pPr>
            <w:r w:rsidRPr="00C04F3E">
              <w:rPr>
                <w:rFonts w:cs="Times New Roman"/>
              </w:rPr>
              <w:t>-</w:t>
            </w:r>
            <w:r w:rsidRPr="00C04F3E">
              <w:rPr>
                <w:rFonts w:cs="Times New Roman"/>
              </w:rPr>
              <w:tab/>
              <w:t>it is no earlier than the summation of</w:t>
            </w:r>
          </w:p>
          <w:p w14:paraId="6A561999" w14:textId="77777777" w:rsidR="00C04F3E" w:rsidRPr="00C04F3E" w:rsidRDefault="00C04F3E" w:rsidP="00C04F3E">
            <w:pPr>
              <w:pStyle w:val="B2"/>
              <w:rPr>
                <w:rFonts w:cs="Times New Roman"/>
              </w:rPr>
            </w:pPr>
            <w:r w:rsidRPr="00C04F3E">
              <w:rPr>
                <w:rFonts w:cs="Times New Roman"/>
              </w:rPr>
              <w:t>-</w:t>
            </w:r>
            <w:r w:rsidRPr="00C04F3E">
              <w:rPr>
                <w:rFonts w:cs="Times New Roman"/>
              </w:rPr>
              <w:tab/>
              <w:t xml:space="preserve">the maximum time duration between the two durations spanned by N OFDM symbols of the numerology of cell </w:t>
            </w:r>
            <w:r w:rsidRPr="00C04F3E">
              <w:rPr>
                <w:rFonts w:cs="Times New Roman"/>
                <w:i/>
              </w:rPr>
              <w:t>c</w:t>
            </w:r>
            <w:r w:rsidRPr="00C04F3E">
              <w:rPr>
                <w:rFonts w:cs="Times New Roman"/>
              </w:rPr>
              <w:t xml:space="preserve"> and the cell carrying the grant respectively, and</w:t>
            </w:r>
          </w:p>
          <w:p w14:paraId="0420F826" w14:textId="77777777" w:rsidR="00C04F3E" w:rsidRPr="00C04F3E" w:rsidRDefault="00C04F3E" w:rsidP="00C04F3E">
            <w:pPr>
              <w:pStyle w:val="B2"/>
              <w:rPr>
                <w:rFonts w:cs="Times New Roman"/>
                <w:i/>
              </w:rPr>
            </w:pPr>
            <w:r w:rsidRPr="00C04F3E">
              <w:rPr>
                <w:rFonts w:cs="Times New Roman"/>
              </w:rPr>
              <w:t>-</w:t>
            </w:r>
            <w:r w:rsidRPr="00C04F3E">
              <w:rPr>
                <w:rFonts w:cs="Times New Roman"/>
              </w:rPr>
              <w:tab/>
              <w:t xml:space="preserve">the UL or DL RF retuning time [11, TS 38.133] as defined by higher layer parameters </w:t>
            </w:r>
            <w:proofErr w:type="spellStart"/>
            <w:r w:rsidRPr="00C04F3E">
              <w:rPr>
                <w:rFonts w:cs="Times New Roman"/>
                <w:i/>
              </w:rPr>
              <w:t>switchingTimeUL</w:t>
            </w:r>
            <w:proofErr w:type="spellEnd"/>
            <w:r w:rsidRPr="00C04F3E">
              <w:rPr>
                <w:rFonts w:cs="Times New Roman"/>
                <w:color w:val="000000"/>
              </w:rPr>
              <w:t xml:space="preserve"> and </w:t>
            </w:r>
            <w:proofErr w:type="spellStart"/>
            <w:r w:rsidRPr="00C04F3E">
              <w:rPr>
                <w:rFonts w:cs="Times New Roman"/>
                <w:i/>
              </w:rPr>
              <w:t>switchingTimeDL</w:t>
            </w:r>
            <w:proofErr w:type="spellEnd"/>
            <w:r w:rsidRPr="00C04F3E">
              <w:rPr>
                <w:rFonts w:cs="Times New Roman"/>
                <w:color w:val="000000"/>
              </w:rPr>
              <w:t xml:space="preserve"> of </w:t>
            </w:r>
            <w:r w:rsidRPr="00C04F3E">
              <w:rPr>
                <w:rFonts w:cs="Times New Roman"/>
                <w:i/>
                <w:color w:val="000000"/>
              </w:rPr>
              <w:t>SRS-</w:t>
            </w:r>
            <w:proofErr w:type="spellStart"/>
            <w:r w:rsidRPr="00C04F3E">
              <w:rPr>
                <w:rFonts w:cs="Times New Roman"/>
                <w:i/>
                <w:color w:val="000000"/>
              </w:rPr>
              <w:t>SwitchingTimeNR</w:t>
            </w:r>
            <w:proofErr w:type="spellEnd"/>
            <w:r w:rsidRPr="00C04F3E">
              <w:rPr>
                <w:rFonts w:cs="Times New Roman"/>
                <w:i/>
              </w:rPr>
              <w:t>,</w:t>
            </w:r>
          </w:p>
          <w:p w14:paraId="7FDC7D0D" w14:textId="77777777" w:rsidR="00C04F3E" w:rsidRPr="00C04F3E" w:rsidRDefault="00C04F3E" w:rsidP="00C04F3E">
            <w:pPr>
              <w:pStyle w:val="B1"/>
              <w:rPr>
                <w:rFonts w:cs="Times New Roman"/>
              </w:rPr>
            </w:pPr>
            <w:r w:rsidRPr="00C04F3E">
              <w:rPr>
                <w:rFonts w:cs="Times New Roman"/>
              </w:rPr>
              <w:t>-</w:t>
            </w:r>
            <w:r w:rsidRPr="00C04F3E">
              <w:rPr>
                <w:rFonts w:cs="Times New Roman"/>
              </w:rPr>
              <w:tab/>
              <w:t xml:space="preserve">it does not collide with any previous SRS transmissions, or interruption due to UL or DL RF retuning time, except if the previous SRS transmission is in the same cell </w:t>
            </w:r>
            <w:r w:rsidRPr="00C04F3E">
              <w:rPr>
                <w:rFonts w:cs="Times New Roman"/>
                <w:i/>
                <w:iCs/>
              </w:rPr>
              <w:t>c</w:t>
            </w:r>
            <w:r w:rsidRPr="00C04F3E">
              <w:rPr>
                <w:rFonts w:cs="Times New Roman"/>
              </w:rPr>
              <w:t xml:space="preserve"> and the UE reports </w:t>
            </w:r>
            <w:r w:rsidRPr="00C04F3E">
              <w:rPr>
                <w:rFonts w:cs="Times New Roman"/>
                <w:i/>
                <w:iCs/>
              </w:rPr>
              <w:t>SRS-</w:t>
            </w:r>
            <w:proofErr w:type="spellStart"/>
            <w:r w:rsidRPr="00C04F3E">
              <w:rPr>
                <w:rFonts w:cs="Times New Roman"/>
                <w:i/>
                <w:iCs/>
              </w:rPr>
              <w:t>StayInTargetCC</w:t>
            </w:r>
            <w:proofErr w:type="spellEnd"/>
            <w:r w:rsidRPr="00C04F3E">
              <w:rPr>
                <w:rFonts w:cs="Times New Roman"/>
                <w:i/>
                <w:iCs/>
              </w:rPr>
              <w:t xml:space="preserve"> </w:t>
            </w:r>
            <w:r w:rsidRPr="00C04F3E">
              <w:rPr>
                <w:rFonts w:cs="Times New Roman"/>
              </w:rPr>
              <w:t>for the corresponding band combination.</w:t>
            </w:r>
          </w:p>
          <w:p w14:paraId="3CD5B489" w14:textId="6B9215A6" w:rsidR="00C04F3E" w:rsidRPr="00C04F3E" w:rsidRDefault="00C04F3E" w:rsidP="00C04F3E">
            <w:pPr>
              <w:pStyle w:val="B1"/>
            </w:pPr>
            <w:r w:rsidRPr="00C04F3E">
              <w:rPr>
                <w:rFonts w:cs="Times New Roman"/>
              </w:rPr>
              <w:t xml:space="preserve">otherwise, </w:t>
            </w:r>
            <w:r w:rsidRPr="00C04F3E">
              <w:rPr>
                <w:rFonts w:cs="Times New Roman"/>
                <w:i/>
              </w:rPr>
              <w:t>n</w:t>
            </w:r>
            <w:r w:rsidRPr="00C04F3E">
              <w:rPr>
                <w:rFonts w:cs="Times New Roman"/>
              </w:rPr>
              <w:t>-</w:t>
            </w:r>
            <w:proofErr w:type="spellStart"/>
            <w:r w:rsidRPr="00C04F3E">
              <w:rPr>
                <w:rFonts w:cs="Times New Roman"/>
              </w:rPr>
              <w:t>th</w:t>
            </w:r>
            <w:proofErr w:type="spellEnd"/>
            <w:r w:rsidRPr="00C04F3E">
              <w:rPr>
                <w:rFonts w:cs="Times New Roman"/>
              </w:rPr>
              <w:t xml:space="preserve"> SRS transmission is dropped, </w:t>
            </w:r>
            <w:r w:rsidRPr="00C04F3E">
              <w:rPr>
                <w:rFonts w:cs="Times New Roman"/>
                <w:highlight w:val="yellow"/>
              </w:rPr>
              <w:t>where N is the reported capability as the minimum time interval in unit of symbols, between the DCI triggering and aperiodic SRS transmission.</w:t>
            </w:r>
          </w:p>
        </w:tc>
      </w:tr>
    </w:tbl>
    <w:p w14:paraId="7561561C" w14:textId="2DEFACEA" w:rsidR="00C04F3E" w:rsidRDefault="00C04F3E" w:rsidP="0065742C">
      <w:pPr>
        <w:pStyle w:val="ListBullet"/>
        <w:numPr>
          <w:ilvl w:val="0"/>
          <w:numId w:val="0"/>
        </w:numPr>
        <w:rPr>
          <w:lang w:val="en-GB"/>
        </w:rPr>
      </w:pPr>
    </w:p>
    <w:p w14:paraId="2D7C9CDA" w14:textId="6E2A73F4" w:rsidR="0065742C" w:rsidRPr="00904BE5" w:rsidRDefault="00904BE5" w:rsidP="00D635D5">
      <w:pPr>
        <w:pStyle w:val="ListBullet"/>
        <w:numPr>
          <w:ilvl w:val="0"/>
          <w:numId w:val="0"/>
        </w:numPr>
        <w:spacing w:after="0"/>
        <w:jc w:val="left"/>
        <w:rPr>
          <w:b/>
          <w:bCs/>
          <w:u w:val="single"/>
          <w:lang w:val="en-GB"/>
        </w:rPr>
      </w:pPr>
      <w:r w:rsidRPr="00904BE5">
        <w:rPr>
          <w:b/>
          <w:bCs/>
          <w:u w:val="single"/>
          <w:lang w:val="en-GB"/>
        </w:rPr>
        <w:t xml:space="preserve">Observation </w:t>
      </w:r>
      <w:r w:rsidR="00F27C39">
        <w:rPr>
          <w:b/>
          <w:bCs/>
          <w:u w:val="single"/>
          <w:lang w:val="en-GB"/>
        </w:rPr>
        <w:t>2.3</w:t>
      </w:r>
      <w:r w:rsidRPr="00904BE5">
        <w:rPr>
          <w:b/>
          <w:bCs/>
          <w:u w:val="single"/>
          <w:lang w:val="en-GB"/>
        </w:rPr>
        <w:t>:</w:t>
      </w:r>
    </w:p>
    <w:p w14:paraId="53CF3EFD" w14:textId="0D86C323" w:rsidR="00904BE5" w:rsidRPr="0065742C" w:rsidRDefault="00904BE5" w:rsidP="00904BE5">
      <w:pPr>
        <w:pStyle w:val="ListBullet"/>
        <w:numPr>
          <w:ilvl w:val="0"/>
          <w:numId w:val="29"/>
        </w:numPr>
        <w:rPr>
          <w:lang w:val="en-GB"/>
        </w:rPr>
      </w:pPr>
      <w:r>
        <w:rPr>
          <w:lang w:val="en-GB"/>
        </w:rPr>
        <w:t xml:space="preserve">SRS carrier switching timing as specified in 38.214 section 6.2.1.3 does not use the parameter </w:t>
      </w:r>
      <w:proofErr w:type="spellStart"/>
      <w:r w:rsidRPr="00907E5A">
        <w:rPr>
          <w:i/>
          <w:iCs/>
          <w:lang w:val="en-GB"/>
        </w:rPr>
        <w:t>AvailableSlotOffset</w:t>
      </w:r>
      <w:proofErr w:type="spellEnd"/>
      <w:r>
        <w:rPr>
          <w:lang w:val="en-GB"/>
        </w:rPr>
        <w:t>, and so does not appear to support Rel-17 SRS transmission using available slots.</w:t>
      </w:r>
    </w:p>
    <w:p w14:paraId="42B071B6" w14:textId="37F4405A" w:rsidR="00156561" w:rsidRDefault="0065742C" w:rsidP="00156561">
      <w:pPr>
        <w:pStyle w:val="Heading2"/>
      </w:pPr>
      <w:r>
        <w:t xml:space="preserve">2.4 </w:t>
      </w:r>
      <w:r w:rsidR="00156561">
        <w:t xml:space="preserve">Power control for SRS carrier </w:t>
      </w:r>
      <w:proofErr w:type="gramStart"/>
      <w:r w:rsidR="00156561">
        <w:t>switching</w:t>
      </w:r>
      <w:proofErr w:type="gramEnd"/>
    </w:p>
    <w:p w14:paraId="76E7A425" w14:textId="38E5ECDB" w:rsidR="00F521B8" w:rsidRDefault="00F521B8" w:rsidP="00F521B8">
      <w:pPr>
        <w:rPr>
          <w:rFonts w:eastAsiaTheme="minorEastAsia"/>
          <w:lang w:val="en-GB" w:eastAsia="ja-JP"/>
        </w:rPr>
      </w:pPr>
      <w:r>
        <w:rPr>
          <w:lang w:val="en-GB" w:eastAsia="ja-JP"/>
        </w:rPr>
        <w:t xml:space="preserve">Although the use of power control is network implementation, this is not clear for the case of DCI format 1_1/1_2 with SRS carrier switching in the current version of 38.213.  The focus in the current specification is on where power control commands are available, and where they are not available is not explicitly addressed.  As discussed in more detail in </w:t>
      </w:r>
      <w:r w:rsidR="00773776">
        <w:rPr>
          <w:lang w:val="en-GB" w:eastAsia="ja-JP"/>
        </w:rPr>
        <w:fldChar w:fldCharType="begin"/>
      </w:r>
      <w:r w:rsidR="00773776">
        <w:rPr>
          <w:lang w:val="en-GB" w:eastAsia="ja-JP"/>
        </w:rPr>
        <w:instrText xml:space="preserve"> REF _Ref142664398 \r \h </w:instrText>
      </w:r>
      <w:r w:rsidR="00773776">
        <w:rPr>
          <w:lang w:val="en-GB" w:eastAsia="ja-JP"/>
        </w:rPr>
      </w:r>
      <w:r w:rsidR="00773776">
        <w:rPr>
          <w:lang w:val="en-GB" w:eastAsia="ja-JP"/>
        </w:rPr>
        <w:fldChar w:fldCharType="separate"/>
      </w:r>
      <w:r w:rsidR="00FC4662">
        <w:rPr>
          <w:lang w:val="en-GB" w:eastAsia="ja-JP"/>
        </w:rPr>
        <w:t>[1]</w:t>
      </w:r>
      <w:r w:rsidR="00773776">
        <w:rPr>
          <w:lang w:val="en-GB" w:eastAsia="ja-JP"/>
        </w:rPr>
        <w:fldChar w:fldCharType="end"/>
      </w:r>
      <w:r>
        <w:rPr>
          <w:lang w:val="en-GB" w:eastAsia="ja-JP"/>
        </w:rPr>
        <w:t xml:space="preserve">, 38.213 section 7.3.1 states that when PUSCH is not </w:t>
      </w:r>
      <w:r>
        <w:rPr>
          <w:lang w:val="en-GB" w:eastAsia="ja-JP"/>
        </w:rPr>
        <w:lastRenderedPageBreak/>
        <w:t xml:space="preserve">configured on the BWP,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is jointly coded with other TPC commands in a format 2_3 DCI.  This should be read with </w:t>
      </w:r>
      <w:r w:rsidRPr="00F23729">
        <w:rPr>
          <w:rFonts w:eastAsiaTheme="minorEastAsia"/>
          <w:lang w:val="en-GB" w:eastAsia="ja-JP"/>
        </w:rPr>
        <w:t>the</w:t>
      </w:r>
      <w:r w:rsidRPr="00F23729">
        <w:rPr>
          <w:rFonts w:eastAsiaTheme="minorEastAsia"/>
          <w:color w:val="FF0000"/>
          <w:lang w:val="en-GB" w:eastAsia="ja-JP"/>
        </w:rPr>
        <w:t xml:space="preserve"> </w:t>
      </w:r>
      <w:r w:rsidRPr="00F23729">
        <w:rPr>
          <w:rFonts w:eastAsiaTheme="minorEastAsia"/>
          <w:color w:val="FF0000"/>
          <w:u w:val="single"/>
          <w:lang w:val="en-GB" w:eastAsia="ja-JP"/>
        </w:rPr>
        <w:t>understanding</w:t>
      </w:r>
      <w:r w:rsidRPr="00F23729">
        <w:rPr>
          <w:rFonts w:eastAsiaTheme="minorEastAsia"/>
          <w:color w:val="FF0000"/>
          <w:lang w:val="en-GB" w:eastAsia="ja-JP"/>
        </w:rPr>
        <w:t xml:space="preserve"> </w:t>
      </w:r>
      <w:r>
        <w:rPr>
          <w:rFonts w:eastAsiaTheme="minorEastAsia"/>
          <w:lang w:val="en-GB" w:eastAsia="ja-JP"/>
        </w:rPr>
        <w:t xml:space="preserve">that format 2_3 is optional when SRS carrier switching is used, </w:t>
      </w:r>
      <w:proofErr w:type="gramStart"/>
      <w:r>
        <w:rPr>
          <w:rFonts w:eastAsiaTheme="minorEastAsia"/>
          <w:lang w:val="en-GB" w:eastAsia="ja-JP"/>
        </w:rPr>
        <w:t>i.e.</w:t>
      </w:r>
      <w:proofErr w:type="gramEnd"/>
      <w:r>
        <w:rPr>
          <w:rFonts w:eastAsiaTheme="minorEastAsia"/>
          <w:lang w:val="en-GB" w:eastAsia="ja-JP"/>
        </w:rPr>
        <w:t xml:space="preserve"> as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is jointly coded wi</w:t>
      </w:r>
      <w:proofErr w:type="spellStart"/>
      <w:r>
        <w:rPr>
          <w:rFonts w:eastAsiaTheme="minorEastAsia"/>
          <w:lang w:val="en-GB" w:eastAsia="ja-JP"/>
        </w:rPr>
        <w:t>th</w:t>
      </w:r>
      <w:proofErr w:type="spellEnd"/>
      <w:r>
        <w:rPr>
          <w:rFonts w:eastAsiaTheme="minorEastAsia"/>
          <w:lang w:val="en-GB" w:eastAsia="ja-JP"/>
        </w:rPr>
        <w:t xml:space="preserve"> other TPC commands in a format 2_3 DCI</w:t>
      </w:r>
      <w:r w:rsidRPr="00CE7A4D">
        <w:rPr>
          <w:rFonts w:eastAsiaTheme="minorEastAsia"/>
          <w:color w:val="FF0000"/>
          <w:u w:val="single"/>
          <w:lang w:val="en-GB" w:eastAsia="ja-JP"/>
        </w:rPr>
        <w:t>, if present</w:t>
      </w:r>
      <w:r>
        <w:rPr>
          <w:rFonts w:eastAsiaTheme="minorEastAsia"/>
          <w:lang w:val="en-GB" w:eastAsia="ja-JP"/>
        </w:rPr>
        <w:t xml:space="preserve">’.  However, the behaviour for other optional values is explicitly described for power control, </w:t>
      </w:r>
      <w:proofErr w:type="gramStart"/>
      <w:r>
        <w:rPr>
          <w:rFonts w:eastAsiaTheme="minorEastAsia"/>
          <w:lang w:val="en-GB" w:eastAsia="ja-JP"/>
        </w:rPr>
        <w:t>e.g.</w:t>
      </w:r>
      <w:proofErr w:type="gramEnd"/>
      <w:r>
        <w:rPr>
          <w:rFonts w:eastAsiaTheme="minorEastAsia"/>
          <w:lang w:val="en-GB" w:eastAsia="ja-JP"/>
        </w:rPr>
        <w:t xml:space="preserve"> for </w:t>
      </w:r>
      <w:proofErr w:type="spellStart"/>
      <w:r w:rsidRPr="00E27566">
        <w:rPr>
          <w:rFonts w:eastAsiaTheme="minorEastAsia"/>
          <w:i/>
          <w:iCs/>
          <w:lang w:val="en-GB" w:eastAsia="ja-JP"/>
        </w:rPr>
        <w:t>srs-PowerControlAdjustmentStates</w:t>
      </w:r>
      <w:proofErr w:type="spellEnd"/>
      <w:r w:rsidRPr="00E27566">
        <w:rPr>
          <w:rFonts w:eastAsiaTheme="minorEastAsia"/>
          <w:lang w:val="en-GB" w:eastAsia="ja-JP"/>
        </w:rPr>
        <w:t xml:space="preserve"> </w:t>
      </w:r>
      <w:r>
        <w:rPr>
          <w:rFonts w:eastAsiaTheme="minorEastAsia"/>
          <w:lang w:val="en-GB" w:eastAsia="ja-JP"/>
        </w:rPr>
        <w:t xml:space="preserve">and </w:t>
      </w:r>
      <w:proofErr w:type="spellStart"/>
      <w:r w:rsidRPr="00E27566">
        <w:rPr>
          <w:rFonts w:eastAsiaTheme="minorEastAsia"/>
          <w:i/>
          <w:iCs/>
          <w:lang w:val="en-GB" w:eastAsia="ja-JP"/>
        </w:rPr>
        <w:t>tpc</w:t>
      </w:r>
      <w:proofErr w:type="spellEnd"/>
      <w:r w:rsidRPr="00E27566">
        <w:rPr>
          <w:rFonts w:eastAsiaTheme="minorEastAsia"/>
          <w:i/>
          <w:iCs/>
          <w:lang w:val="en-GB" w:eastAsia="ja-JP"/>
        </w:rPr>
        <w:t>-Accumulation</w:t>
      </w:r>
      <w:r>
        <w:rPr>
          <w:rFonts w:eastAsiaTheme="minorEastAsia"/>
          <w:lang w:val="en-GB" w:eastAsia="ja-JP"/>
        </w:rPr>
        <w:t xml:space="preserve">.  Since these are explicitly called out, to be consistent, the behaviour for format 2_3 could be interpreted as that when PUSCH is not configured on the BWP, a UE should expect it may receive a format 2_3 DCI with a TPC command jointly </w:t>
      </w:r>
      <w:r>
        <w:rPr>
          <w:lang w:val="en-GB" w:eastAsia="ja-JP"/>
        </w:rPr>
        <w:t xml:space="preserve">coded with a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w:t>
      </w:r>
    </w:p>
    <w:p w14:paraId="2F911801" w14:textId="77777777" w:rsidR="00F521B8" w:rsidRDefault="00F521B8" w:rsidP="00FA1F2D">
      <w:pPr>
        <w:rPr>
          <w:lang w:val="en-GB" w:eastAsia="ja-JP"/>
        </w:rPr>
      </w:pPr>
      <w:bookmarkStart w:id="2" w:name="_Toc146620957"/>
      <w:r>
        <w:rPr>
          <w:lang w:val="en-GB" w:eastAsia="ja-JP"/>
        </w:rPr>
        <w:t xml:space="preserve">The specification of SRS carrier switching power control in 38.213 section 7.3.1 should be read as not requiring (the optional) DCI format 2_3, however this is inconsistent with the specification of other optional power control features for SRS carrier switching such as </w:t>
      </w:r>
      <w:proofErr w:type="spellStart"/>
      <w:r w:rsidRPr="00FA1F2D">
        <w:rPr>
          <w:lang w:val="en-GB" w:eastAsia="ja-JP"/>
        </w:rPr>
        <w:t>srs-PowerControlAdjustmentStates</w:t>
      </w:r>
      <w:proofErr w:type="spellEnd"/>
      <w:r w:rsidRPr="001377CD">
        <w:rPr>
          <w:lang w:val="en-GB" w:eastAsia="ja-JP"/>
        </w:rPr>
        <w:t xml:space="preserve"> and </w:t>
      </w:r>
      <w:proofErr w:type="spellStart"/>
      <w:r w:rsidRPr="00FA1F2D">
        <w:rPr>
          <w:lang w:val="en-GB" w:eastAsia="ja-JP"/>
        </w:rPr>
        <w:t>tpc</w:t>
      </w:r>
      <w:proofErr w:type="spellEnd"/>
      <w:r w:rsidRPr="00FA1F2D">
        <w:rPr>
          <w:lang w:val="en-GB" w:eastAsia="ja-JP"/>
        </w:rPr>
        <w:t>-Accumulation</w:t>
      </w:r>
      <w:r>
        <w:rPr>
          <w:lang w:val="en-GB" w:eastAsia="ja-JP"/>
        </w:rPr>
        <w:t>.</w:t>
      </w:r>
      <w:bookmarkEnd w:id="2"/>
    </w:p>
    <w:p w14:paraId="2DC2F521" w14:textId="4B277481" w:rsidR="00FA1F2D" w:rsidRPr="00904BE5" w:rsidRDefault="00FA1F2D" w:rsidP="00D635D5">
      <w:pPr>
        <w:pStyle w:val="ListBullet"/>
        <w:keepNext/>
        <w:numPr>
          <w:ilvl w:val="0"/>
          <w:numId w:val="0"/>
        </w:numPr>
        <w:spacing w:after="0"/>
        <w:jc w:val="left"/>
        <w:rPr>
          <w:b/>
          <w:bCs/>
          <w:u w:val="single"/>
          <w:lang w:val="en-GB"/>
        </w:rPr>
      </w:pPr>
      <w:r w:rsidRPr="00904BE5">
        <w:rPr>
          <w:b/>
          <w:bCs/>
          <w:u w:val="single"/>
          <w:lang w:val="en-GB"/>
        </w:rPr>
        <w:t xml:space="preserve">Observation </w:t>
      </w:r>
      <w:r w:rsidR="007D1E5B">
        <w:rPr>
          <w:b/>
          <w:bCs/>
          <w:u w:val="single"/>
          <w:lang w:val="en-GB"/>
        </w:rPr>
        <w:t>2.4</w:t>
      </w:r>
      <w:r w:rsidRPr="00904BE5">
        <w:rPr>
          <w:b/>
          <w:bCs/>
          <w:u w:val="single"/>
          <w:lang w:val="en-GB"/>
        </w:rPr>
        <w:t>:</w:t>
      </w:r>
    </w:p>
    <w:p w14:paraId="6C529BE1" w14:textId="77777777" w:rsidR="00F521B8" w:rsidRDefault="00F521B8" w:rsidP="00F521B8">
      <w:pPr>
        <w:rPr>
          <w:lang w:val="en-GB" w:eastAsia="ja-JP"/>
        </w:rPr>
      </w:pPr>
      <w:r w:rsidRPr="00D03863">
        <w:rPr>
          <w:lang w:val="en-GB" w:eastAsia="ja-JP"/>
        </w:rPr>
        <w:t xml:space="preserve">Identifying that the UE only receives power control commands from DCI 2_3 and applies closed loop power control for SRS carrier switching </w:t>
      </w:r>
      <w:r>
        <w:rPr>
          <w:lang w:val="en-GB" w:eastAsia="ja-JP"/>
        </w:rPr>
        <w:t xml:space="preserve">when the UE is configured with the optional parameter </w:t>
      </w:r>
      <w:proofErr w:type="spellStart"/>
      <w:r w:rsidRPr="008B7572">
        <w:rPr>
          <w:lang w:val="en-GB" w:eastAsia="ja-JP"/>
        </w:rPr>
        <w:t>tpc</w:t>
      </w:r>
      <w:proofErr w:type="spellEnd"/>
      <w:r w:rsidRPr="008B7572">
        <w:rPr>
          <w:lang w:val="en-GB" w:eastAsia="ja-JP"/>
        </w:rPr>
        <w:t xml:space="preserve">-SRS-RNTI </w:t>
      </w:r>
      <w:r w:rsidRPr="00D03863">
        <w:rPr>
          <w:lang w:val="en-GB" w:eastAsia="ja-JP"/>
        </w:rPr>
        <w:t xml:space="preserve">can be </w:t>
      </w:r>
      <w:r>
        <w:rPr>
          <w:lang w:val="en-GB" w:eastAsia="ja-JP"/>
        </w:rPr>
        <w:t xml:space="preserve">done </w:t>
      </w:r>
      <w:r w:rsidRPr="00D03863">
        <w:rPr>
          <w:lang w:val="en-GB" w:eastAsia="ja-JP"/>
        </w:rPr>
        <w:t>with the following change to 38.213 section 7.3.1:</w:t>
      </w:r>
    </w:p>
    <w:p w14:paraId="3832E573" w14:textId="282FB863" w:rsidR="00F521B8" w:rsidRPr="00FA1F2D" w:rsidRDefault="00F521B8" w:rsidP="00F521B8">
      <w:pPr>
        <w:rPr>
          <w:i/>
          <w:iCs/>
          <w:u w:val="single"/>
          <w:lang w:val="en-GB"/>
        </w:rPr>
      </w:pPr>
      <w:r w:rsidRPr="00FA1F2D">
        <w:rPr>
          <w:i/>
          <w:iCs/>
          <w:u w:val="single"/>
          <w:lang w:val="en-GB"/>
        </w:rPr>
        <w:t>Text Proposal 2.</w:t>
      </w:r>
      <w:r w:rsidR="00FA1F2D" w:rsidRPr="00FA1F2D">
        <w:rPr>
          <w:i/>
          <w:iCs/>
          <w:u w:val="single"/>
          <w:lang w:val="en-GB"/>
        </w:rPr>
        <w:t>4</w:t>
      </w:r>
      <w:r w:rsidRPr="00FA1F2D">
        <w:rPr>
          <w:i/>
          <w:iCs/>
          <w:u w:val="single"/>
          <w:lang w:val="en-GB"/>
        </w:rPr>
        <w:t>:</w:t>
      </w:r>
    </w:p>
    <w:tbl>
      <w:tblPr>
        <w:tblStyle w:val="TableGrid"/>
        <w:tblW w:w="0" w:type="auto"/>
        <w:tblLook w:val="04A0" w:firstRow="1" w:lastRow="0" w:firstColumn="1" w:lastColumn="0" w:noHBand="0" w:noVBand="1"/>
      </w:tblPr>
      <w:tblGrid>
        <w:gridCol w:w="9629"/>
      </w:tblGrid>
      <w:tr w:rsidR="00F521B8" w14:paraId="4AB26AA1" w14:textId="77777777" w:rsidTr="00A468B4">
        <w:tc>
          <w:tcPr>
            <w:tcW w:w="9629" w:type="dxa"/>
          </w:tcPr>
          <w:p w14:paraId="13993709" w14:textId="77777777" w:rsidR="00F521B8" w:rsidRPr="00974A34" w:rsidRDefault="00F521B8" w:rsidP="00A468B4">
            <w:pPr>
              <w:spacing w:after="180" w:line="240" w:lineRule="auto"/>
              <w:ind w:left="568"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t>For the SRS</w:t>
            </w:r>
            <w:r w:rsidRPr="00974A34">
              <w:rPr>
                <w:rFonts w:ascii="Times New Roman" w:eastAsia="Times New Roman" w:hAnsi="Times New Roman" w:cs="Times New Roman"/>
                <w:szCs w:val="20"/>
                <w:lang w:val="en-GB"/>
              </w:rPr>
              <w:t xml:space="preserve"> power control adjustment state for </w:t>
            </w:r>
            <w:r w:rsidRPr="00974A34">
              <w:rPr>
                <w:rFonts w:ascii="Times New Roman" w:eastAsia="Times New Roman" w:hAnsi="Times New Roman" w:cs="Times New Roman"/>
                <w:szCs w:val="20"/>
              </w:rPr>
              <w:t xml:space="preserve">active UL BWP </w:t>
            </w:r>
            <w:r w:rsidRPr="00974A34">
              <w:rPr>
                <w:rFonts w:ascii="Times New Roman" w:eastAsia="Times New Roman" w:hAnsi="Times New Roman" w:cs="Times New Roman"/>
                <w:iCs/>
                <w:noProof/>
                <w:position w:val="-6"/>
                <w:sz w:val="20"/>
                <w:szCs w:val="20"/>
                <w:lang w:val="en-GB"/>
              </w:rPr>
              <w:object w:dxaOrig="180" w:dyaOrig="260" w14:anchorId="7F527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pt;height:12.6pt;mso-width-percent:0;mso-height-percent:0;mso-width-percent:0;mso-height-percent:0" o:ole="">
                  <v:imagedata r:id="rId8" o:title=""/>
                </v:shape>
                <o:OLEObject Type="Embed" ProgID="Equation.3" ShapeID="_x0000_i1025" DrawAspect="Content" ObjectID="_1760539011" r:id="rId9"/>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Pr="00974A34">
              <w:rPr>
                <w:rFonts w:ascii="Times New Roman" w:eastAsia="Times New Roman" w:hAnsi="Times New Roman" w:cs="Times New Roman"/>
                <w:iCs/>
                <w:noProof/>
                <w:position w:val="-10"/>
                <w:sz w:val="20"/>
                <w:szCs w:val="20"/>
                <w:lang w:val="en-GB"/>
              </w:rPr>
              <w:object w:dxaOrig="220" w:dyaOrig="300" w14:anchorId="1AA6E031">
                <v:shape id="_x0000_i1026" type="#_x0000_t75" alt="" style="width:7.2pt;height:12.6pt;mso-width-percent:0;mso-height-percent:0;mso-width-percent:0;mso-height-percent:0" o:ole="">
                  <v:imagedata r:id="rId10" o:title=""/>
                </v:shape>
                <o:OLEObject Type="Embed" ProgID="Equation.3" ShapeID="_x0000_i1026" DrawAspect="Content" ObjectID="_1760539012" r:id="rId11"/>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cell </w:t>
            </w:r>
            <w:r w:rsidRPr="00974A34">
              <w:rPr>
                <w:rFonts w:ascii="Times New Roman" w:eastAsia="Times New Roman" w:hAnsi="Times New Roman" w:cs="Times New Roman"/>
                <w:iCs/>
                <w:noProof/>
                <w:position w:val="-6"/>
                <w:sz w:val="20"/>
                <w:szCs w:val="20"/>
                <w:lang w:val="en-GB"/>
              </w:rPr>
              <w:object w:dxaOrig="160" w:dyaOrig="200" w14:anchorId="0EF36F2D">
                <v:shape id="_x0000_i1027" type="#_x0000_t75" alt="" style="width:7.2pt;height:12.6pt;mso-width-percent:0;mso-height-percent:0;mso-width-percent:0;mso-height-percent:0" o:ole="">
                  <v:imagedata r:id="rId12" o:title=""/>
                </v:shape>
                <o:OLEObject Type="Embed" ProgID="Equation.3" ShapeID="_x0000_i1027" DrawAspect="Content" ObjectID="_1760539013" r:id="rId13"/>
              </w:object>
            </w:r>
            <w:r w:rsidRPr="00974A34">
              <w:rPr>
                <w:rFonts w:ascii="Times New Roman" w:eastAsia="Times New Roman" w:hAnsi="Times New Roman" w:cs="Times New Roman"/>
                <w:szCs w:val="20"/>
              </w:rPr>
              <w:t xml:space="preserve"> and SRS transmission occasion </w:t>
            </w:r>
            <w:r w:rsidRPr="00974A34">
              <w:rPr>
                <w:rFonts w:ascii="Times New Roman" w:eastAsia="Times New Roman" w:hAnsi="Times New Roman" w:cs="Times New Roman"/>
                <w:noProof/>
                <w:position w:val="-6"/>
                <w:sz w:val="20"/>
                <w:szCs w:val="20"/>
                <w:lang w:val="en-GB"/>
              </w:rPr>
              <w:object w:dxaOrig="139" w:dyaOrig="240" w14:anchorId="2BFCCDBE">
                <v:shape id="_x0000_i1028" type="#_x0000_t75" alt="" style="width:7.2pt;height:12.6pt;mso-width-percent:0;mso-height-percent:0;mso-width-percent:0;mso-height-percent:0" o:ole="">
                  <v:imagedata r:id="rId14" o:title=""/>
                </v:shape>
                <o:OLEObject Type="Embed" ProgID="Equation.3" ShapeID="_x0000_i1028" DrawAspect="Content" ObjectID="_1760539014" r:id="rId15"/>
              </w:object>
            </w:r>
          </w:p>
          <w:p w14:paraId="77E107F8" w14:textId="77777777" w:rsidR="00F521B8" w:rsidRPr="00974A34" w:rsidRDefault="00F521B8" w:rsidP="00A468B4">
            <w:pPr>
              <w:spacing w:after="180" w:line="240" w:lineRule="auto"/>
              <w:ind w:left="851" w:hanging="284"/>
              <w:rPr>
                <w:rFonts w:ascii="Times New Roman" w:eastAsia="Times New Roman" w:hAnsi="Times New Roman" w:cs="Times New Roman"/>
                <w:szCs w:val="20"/>
                <w:lang w:val="en-GB"/>
              </w:rPr>
            </w:pPr>
            <w:r w:rsidRPr="00974A34">
              <w:rPr>
                <w:rFonts w:ascii="Times New Roman" w:eastAsia="Times New Roman" w:hAnsi="Times New Roman" w:cs="Times New Roman"/>
                <w:szCs w:val="20"/>
                <w:lang w:val="en-GB"/>
              </w:rPr>
              <w:t>-</w:t>
            </w:r>
            <w:r w:rsidRPr="00974A34">
              <w:rPr>
                <w:rFonts w:ascii="Times New Roman" w:eastAsia="Times New Roman" w:hAnsi="Times New Roman" w:cs="Times New Roman"/>
                <w:szCs w:val="20"/>
                <w:lang w:val="en-GB"/>
              </w:rPr>
              <w:tab/>
            </w:r>
            <w:r w:rsidRPr="00974A34">
              <w:rPr>
                <w:rFonts w:ascii="Times New Roman" w:eastAsia="Times New Roman" w:hAnsi="Times New Roman" w:cs="Times New Roman"/>
                <w:noProof/>
                <w:position w:val="-12"/>
                <w:sz w:val="20"/>
                <w:szCs w:val="20"/>
                <w:lang w:val="en-GB"/>
              </w:rPr>
              <w:object w:dxaOrig="1740" w:dyaOrig="320" w14:anchorId="1C6DB4F0">
                <v:shape id="_x0000_i1029" type="#_x0000_t75" alt="" style="width:91.2pt;height:12.6pt;mso-width-percent:0;mso-height-percent:0;mso-width-percent:0;mso-height-percent:0" o:ole="">
                  <v:imagedata r:id="rId16" o:title=""/>
                </v:shape>
                <o:OLEObject Type="Embed" ProgID="Equation.3" ShapeID="_x0000_i1029" DrawAspect="Content" ObjectID="_1760539015" r:id="rId17"/>
              </w:object>
            </w:r>
            <w:r w:rsidRPr="00974A34">
              <w:rPr>
                <w:rFonts w:ascii="Times New Roman" w:eastAsia="Times New Roman" w:hAnsi="Times New Roman" w:cs="Times New Roman"/>
                <w:szCs w:val="20"/>
                <w:lang w:val="en-GB"/>
              </w:rPr>
              <w:t xml:space="preserve">, </w:t>
            </w:r>
            <w:r w:rsidRPr="00974A34">
              <w:rPr>
                <w:rFonts w:ascii="Times New Roman" w:eastAsia="Times New Roman" w:hAnsi="Times New Roman" w:cs="Times New Roman"/>
                <w:szCs w:val="20"/>
              </w:rPr>
              <w:t xml:space="preserve">where </w:t>
            </w:r>
            <w:r w:rsidRPr="00974A34">
              <w:rPr>
                <w:rFonts w:ascii="Times New Roman" w:eastAsia="Times New Roman" w:hAnsi="Times New Roman" w:cs="Times New Roman"/>
                <w:noProof/>
                <w:position w:val="-12"/>
                <w:sz w:val="20"/>
                <w:szCs w:val="20"/>
                <w:lang w:val="en-GB"/>
              </w:rPr>
              <w:object w:dxaOrig="800" w:dyaOrig="320" w14:anchorId="37C31688">
                <v:shape id="_x0000_i1030" type="#_x0000_t75" alt="" style="width:46.2pt;height:12.6pt;mso-width-percent:0;mso-height-percent:0;mso-width-percent:0;mso-height-percent:0" o:ole="">
                  <v:imagedata r:id="rId18" o:title=""/>
                </v:shape>
                <o:OLEObject Type="Embed" ProgID="Equation.3" ShapeID="_x0000_i1030" DrawAspect="Content" ObjectID="_1760539016" r:id="rId19"/>
              </w:object>
            </w:r>
            <w:r w:rsidRPr="00974A34">
              <w:rPr>
                <w:rFonts w:ascii="Times New Roman" w:eastAsia="Times New Roman" w:hAnsi="Times New Roman" w:cs="Times New Roman"/>
                <w:szCs w:val="20"/>
              </w:rPr>
              <w:t xml:space="preserve"> is </w:t>
            </w:r>
            <w:r w:rsidRPr="00974A34">
              <w:rPr>
                <w:rFonts w:ascii="Times New Roman" w:eastAsia="Times New Roman" w:hAnsi="Times New Roman" w:cs="Times New Roman"/>
                <w:szCs w:val="20"/>
                <w:lang w:val="en-GB"/>
              </w:rPr>
              <w:t>the current PUSCH power control adjustment state as described in Clause</w:t>
            </w:r>
            <w:r w:rsidRPr="00974A34">
              <w:rPr>
                <w:rFonts w:ascii="Times New Roman" w:eastAsia="Times New Roman" w:hAnsi="Times New Roman" w:cs="Times New Roman"/>
                <w:szCs w:val="20"/>
              </w:rPr>
              <w:t xml:space="preserve"> 7.1.1</w:t>
            </w:r>
            <w:r w:rsidRPr="00974A34">
              <w:rPr>
                <w:rFonts w:ascii="Times New Roman" w:eastAsia="Times New Roman" w:hAnsi="Times New Roman" w:cs="Times New Roman"/>
                <w:szCs w:val="20"/>
                <w:lang w:val="en-GB"/>
              </w:rPr>
              <w:t xml:space="preserve">, if </w:t>
            </w:r>
            <w:proofErr w:type="spellStart"/>
            <w:r w:rsidRPr="00974A34">
              <w:rPr>
                <w:rFonts w:ascii="Times New Roman" w:eastAsia="Times New Roman" w:hAnsi="Times New Roman" w:cs="Times New Roman"/>
                <w:i/>
                <w:szCs w:val="20"/>
                <w:lang w:val="en-GB"/>
              </w:rPr>
              <w:t>srs-PowerControlAdjustmentStates</w:t>
            </w:r>
            <w:proofErr w:type="spellEnd"/>
            <w:r w:rsidRPr="00974A34">
              <w:rPr>
                <w:rFonts w:ascii="Times New Roman" w:eastAsia="Times New Roman" w:hAnsi="Times New Roman" w:cs="Times New Roman"/>
                <w:szCs w:val="20"/>
                <w:lang w:val="en-GB"/>
              </w:rPr>
              <w:t xml:space="preserve"> indicates a same power control adjustment state for SRS transmissions and PUSCH transmissions; or</w:t>
            </w:r>
          </w:p>
          <w:p w14:paraId="0EFB9BAD" w14:textId="77777777" w:rsidR="00F521B8" w:rsidRPr="00974A34" w:rsidRDefault="00F521B8" w:rsidP="00A468B4">
            <w:pPr>
              <w:spacing w:after="180" w:line="240" w:lineRule="auto"/>
              <w:ind w:left="851" w:hanging="284"/>
              <w:rPr>
                <w:rFonts w:ascii="Times New Roman" w:eastAsia="Times New Roman" w:hAnsi="Times New Roman" w:cs="Times New Roman"/>
                <w:szCs w:val="20"/>
                <w:lang w:val="en-GB"/>
              </w:rPr>
            </w:pPr>
            <w:r w:rsidRPr="00974A34">
              <w:rPr>
                <w:rFonts w:ascii="Times New Roman" w:eastAsia="Times New Roman" w:hAnsi="Times New Roman" w:cs="Times New Roman"/>
                <w:szCs w:val="20"/>
                <w:lang w:val="en-GB"/>
              </w:rPr>
              <w:t>-</w:t>
            </w:r>
            <w:r w:rsidRPr="00974A34">
              <w:rPr>
                <w:rFonts w:ascii="Times New Roman" w:eastAsia="Times New Roman" w:hAnsi="Times New Roman" w:cs="Times New Roman"/>
                <w:szCs w:val="20"/>
                <w:lang w:val="en-GB"/>
              </w:rPr>
              <w:tab/>
            </w:r>
            <w:r w:rsidRPr="00974A34">
              <w:rPr>
                <w:rFonts w:ascii="Times New Roman" w:eastAsia="Times New Roman" w:hAnsi="Times New Roman" w:cs="Times New Roman"/>
                <w:noProof/>
                <w:position w:val="-24"/>
                <w:sz w:val="20"/>
                <w:szCs w:val="20"/>
                <w:lang w:val="en-GB"/>
              </w:rPr>
              <w:object w:dxaOrig="3220" w:dyaOrig="600" w14:anchorId="524433DA">
                <v:shape id="_x0000_i1031" type="#_x0000_t75" alt="" style="width:156.6pt;height:25.2pt;mso-width-percent:0;mso-height-percent:0;mso-width-percent:0;mso-height-percent:0" o:ole="">
                  <v:imagedata r:id="rId20" o:title=""/>
                </v:shape>
                <o:OLEObject Type="Embed" ProgID="Equation.3" ShapeID="_x0000_i1031" DrawAspect="Content" ObjectID="_1760539017" r:id="rId21"/>
              </w:object>
            </w:r>
            <w:r w:rsidRPr="00974A34">
              <w:rPr>
                <w:rFonts w:ascii="Times New Roman" w:eastAsia="Times New Roman" w:hAnsi="Times New Roman" w:cs="Times New Roman"/>
                <w:szCs w:val="20"/>
              </w:rPr>
              <w:t xml:space="preserve"> if the UE is not configured for PUSCH transmissions on active UL BWP </w:t>
            </w:r>
            <w:r w:rsidRPr="00974A34">
              <w:rPr>
                <w:rFonts w:ascii="Times New Roman" w:eastAsia="Times New Roman" w:hAnsi="Times New Roman" w:cs="Times New Roman"/>
                <w:iCs/>
                <w:noProof/>
                <w:position w:val="-6"/>
                <w:sz w:val="20"/>
                <w:szCs w:val="20"/>
                <w:lang w:val="en-GB"/>
              </w:rPr>
              <w:object w:dxaOrig="180" w:dyaOrig="260" w14:anchorId="1D8600DF">
                <v:shape id="_x0000_i1032" type="#_x0000_t75" alt="" style="width:12.6pt;height:12.6pt;mso-width-percent:0;mso-height-percent:0;mso-width-percent:0;mso-height-percent:0" o:ole="">
                  <v:imagedata r:id="rId8" o:title=""/>
                </v:shape>
                <o:OLEObject Type="Embed" ProgID="Equation.3" ShapeID="_x0000_i1032" DrawAspect="Content" ObjectID="_1760539018" r:id="rId22"/>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Pr="00974A34">
              <w:rPr>
                <w:rFonts w:ascii="Times New Roman" w:eastAsia="Times New Roman" w:hAnsi="Times New Roman" w:cs="Times New Roman"/>
                <w:iCs/>
                <w:noProof/>
                <w:position w:val="-10"/>
                <w:sz w:val="20"/>
                <w:szCs w:val="20"/>
                <w:lang w:val="en-GB"/>
              </w:rPr>
              <w:object w:dxaOrig="220" w:dyaOrig="300" w14:anchorId="38DC3A36">
                <v:shape id="_x0000_i1033" type="#_x0000_t75" alt="" style="width:12.6pt;height:12.6pt;mso-width-percent:0;mso-height-percent:0;mso-width-percent:0;mso-height-percent:0" o:ole="">
                  <v:imagedata r:id="rId10" o:title=""/>
                </v:shape>
                <o:OLEObject Type="Embed" ProgID="Equation.3" ShapeID="_x0000_i1033" DrawAspect="Content" ObjectID="_1760539019" r:id="rId23"/>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cell </w:t>
            </w:r>
            <w:r w:rsidRPr="00974A34">
              <w:rPr>
                <w:rFonts w:ascii="Times New Roman" w:eastAsia="Times New Roman" w:hAnsi="Times New Roman" w:cs="Times New Roman"/>
                <w:iCs/>
                <w:noProof/>
                <w:position w:val="-6"/>
                <w:sz w:val="20"/>
                <w:szCs w:val="20"/>
                <w:lang w:val="en-GB"/>
              </w:rPr>
              <w:object w:dxaOrig="160" w:dyaOrig="200" w14:anchorId="73B2033B">
                <v:shape id="_x0000_i1034" type="#_x0000_t75" alt="" style="width:7.2pt;height:12.6pt;mso-width-percent:0;mso-height-percent:0;mso-width-percent:0;mso-height-percent:0" o:ole="">
                  <v:imagedata r:id="rId12" o:title=""/>
                </v:shape>
                <o:OLEObject Type="Embed" ProgID="Equation.3" ShapeID="_x0000_i1034" DrawAspect="Content" ObjectID="_1760539020" r:id="rId24"/>
              </w:object>
            </w:r>
            <w:r w:rsidRPr="00974A34">
              <w:rPr>
                <w:rFonts w:ascii="Times New Roman" w:eastAsia="Times New Roman" w:hAnsi="Times New Roman" w:cs="Times New Roman"/>
                <w:iCs/>
                <w:szCs w:val="20"/>
              </w:rPr>
              <w:t>, or</w:t>
            </w:r>
            <w:r w:rsidRPr="00974A34">
              <w:rPr>
                <w:rFonts w:ascii="Times New Roman" w:eastAsia="Times New Roman" w:hAnsi="Times New Roman" w:cs="Times New Roman"/>
                <w:szCs w:val="20"/>
                <w:lang w:val="en-GB"/>
              </w:rPr>
              <w:t xml:space="preserve"> if </w:t>
            </w:r>
            <w:proofErr w:type="spellStart"/>
            <w:r w:rsidRPr="00974A34">
              <w:rPr>
                <w:rFonts w:ascii="Times New Roman" w:eastAsia="Times New Roman" w:hAnsi="Times New Roman" w:cs="Times New Roman"/>
                <w:i/>
                <w:szCs w:val="20"/>
                <w:lang w:val="en-GB"/>
              </w:rPr>
              <w:t>srs-PowerControlAdjustmentStates</w:t>
            </w:r>
            <w:proofErr w:type="spellEnd"/>
            <w:r w:rsidRPr="00974A34">
              <w:rPr>
                <w:rFonts w:ascii="Times New Roman" w:eastAsia="Times New Roman" w:hAnsi="Times New Roman" w:cs="Times New Roman"/>
                <w:szCs w:val="20"/>
                <w:lang w:val="en-GB"/>
              </w:rPr>
              <w:t xml:space="preserve"> indicates separate power control adjustment state</w:t>
            </w:r>
            <w:r w:rsidRPr="00974A34">
              <w:rPr>
                <w:rFonts w:ascii="Times New Roman" w:eastAsia="Times New Roman" w:hAnsi="Times New Roman" w:cs="Times New Roman"/>
                <w:szCs w:val="20"/>
              </w:rPr>
              <w:t>s</w:t>
            </w:r>
            <w:r w:rsidRPr="00974A34">
              <w:rPr>
                <w:rFonts w:ascii="Times New Roman" w:eastAsia="Times New Roman" w:hAnsi="Times New Roman" w:cs="Times New Roman"/>
                <w:szCs w:val="20"/>
                <w:lang w:val="en-GB"/>
              </w:rPr>
              <w:t xml:space="preserve"> between SRS transmissions and PUSCH transmissions</w:t>
            </w: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lang w:val="en-GB"/>
              </w:rPr>
              <w:t xml:space="preserve"> and if </w:t>
            </w:r>
            <w:proofErr w:type="spellStart"/>
            <w:r w:rsidRPr="00974A34">
              <w:rPr>
                <w:rFonts w:ascii="Times New Roman" w:eastAsia="Times New Roman" w:hAnsi="Times New Roman" w:cs="Times New Roman"/>
                <w:i/>
                <w:szCs w:val="20"/>
                <w:lang w:val="en-GB"/>
              </w:rPr>
              <w:t>tpc</w:t>
            </w:r>
            <w:proofErr w:type="spellEnd"/>
            <w:r w:rsidRPr="00974A34">
              <w:rPr>
                <w:rFonts w:ascii="Times New Roman" w:eastAsia="Times New Roman" w:hAnsi="Times New Roman" w:cs="Times New Roman"/>
                <w:i/>
                <w:szCs w:val="20"/>
                <w:lang w:val="en-GB"/>
              </w:rPr>
              <w:t>-Accumulation</w:t>
            </w:r>
            <w:r w:rsidRPr="00974A34">
              <w:rPr>
                <w:rFonts w:ascii="Times New Roman" w:eastAsia="Times New Roman" w:hAnsi="Times New Roman" w:cs="Times New Roman"/>
                <w:szCs w:val="20"/>
                <w:lang w:val="en-GB"/>
              </w:rPr>
              <w:t xml:space="preserve"> </w:t>
            </w:r>
            <w:r w:rsidRPr="00974A34">
              <w:rPr>
                <w:rFonts w:ascii="Times New Roman" w:eastAsia="Times New Roman" w:hAnsi="Times New Roman" w:cs="Times New Roman"/>
                <w:szCs w:val="20"/>
              </w:rPr>
              <w:t xml:space="preserve">is not </w:t>
            </w:r>
            <w:r w:rsidRPr="00974A34">
              <w:rPr>
                <w:rFonts w:ascii="Times New Roman" w:eastAsia="Times New Roman" w:hAnsi="Times New Roman" w:cs="Times New Roman"/>
                <w:szCs w:val="20"/>
                <w:lang w:val="en-GB"/>
              </w:rPr>
              <w:t>provided</w:t>
            </w:r>
            <w:r w:rsidRPr="00974A34">
              <w:rPr>
                <w:rFonts w:ascii="Times New Roman" w:eastAsia="Times New Roman" w:hAnsi="Times New Roman" w:cs="Times New Roman"/>
                <w:color w:val="FF0000"/>
                <w:szCs w:val="20"/>
                <w:u w:val="single"/>
                <w:lang w:val="en-GB"/>
              </w:rPr>
              <w:t xml:space="preserve"> but </w:t>
            </w:r>
            <w:proofErr w:type="spellStart"/>
            <w:r w:rsidRPr="00974A34">
              <w:rPr>
                <w:rFonts w:ascii="Times New Roman" w:eastAsia="Times New Roman" w:hAnsi="Times New Roman" w:cs="Times New Roman"/>
                <w:i/>
                <w:color w:val="FF0000"/>
                <w:szCs w:val="20"/>
                <w:u w:val="single"/>
                <w:lang w:val="en-GB"/>
              </w:rPr>
              <w:t>tpc</w:t>
            </w:r>
            <w:proofErr w:type="spellEnd"/>
            <w:r w:rsidRPr="00974A34">
              <w:rPr>
                <w:rFonts w:ascii="Times New Roman" w:eastAsia="Times New Roman" w:hAnsi="Times New Roman" w:cs="Times New Roman"/>
                <w:i/>
                <w:color w:val="FF0000"/>
                <w:szCs w:val="20"/>
                <w:u w:val="single"/>
                <w:lang w:val="en-GB"/>
              </w:rPr>
              <w:t>-SRS-RNTI</w:t>
            </w:r>
            <w:r w:rsidRPr="00974A34">
              <w:rPr>
                <w:rFonts w:ascii="Times New Roman" w:eastAsia="Times New Roman" w:hAnsi="Times New Roman" w:cs="Times New Roman"/>
                <w:color w:val="FF0000"/>
                <w:szCs w:val="20"/>
                <w:u w:val="single"/>
                <w:lang w:val="en-GB"/>
              </w:rPr>
              <w:t xml:space="preserve"> is provided</w:t>
            </w:r>
            <w:r w:rsidRPr="00974A34">
              <w:rPr>
                <w:rFonts w:ascii="Times New Roman" w:eastAsia="Times New Roman" w:hAnsi="Times New Roman" w:cs="Times New Roman"/>
                <w:szCs w:val="20"/>
                <w:lang w:val="en-GB"/>
              </w:rPr>
              <w:t xml:space="preserve">, where </w:t>
            </w:r>
          </w:p>
          <w:p w14:paraId="658FE295" w14:textId="77777777" w:rsidR="00F521B8" w:rsidRPr="00974A34" w:rsidRDefault="00F521B8" w:rsidP="00A468B4">
            <w:pPr>
              <w:spacing w:after="180" w:line="240" w:lineRule="auto"/>
              <w:ind w:left="1135"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t xml:space="preserve">The </w:t>
            </w:r>
            <w:r w:rsidRPr="00974A34">
              <w:rPr>
                <w:rFonts w:ascii="Times New Roman" w:eastAsia="Times New Roman" w:hAnsi="Times New Roman" w:cs="Times New Roman"/>
                <w:noProof/>
                <w:position w:val="-12"/>
                <w:sz w:val="20"/>
                <w:szCs w:val="20"/>
                <w:lang w:val="en-GB"/>
              </w:rPr>
              <w:object w:dxaOrig="700" w:dyaOrig="320" w14:anchorId="0F32D191">
                <v:shape id="_x0000_i1035" type="#_x0000_t75" alt="" style="width:38.4pt;height:18.6pt;mso-width-percent:0;mso-height-percent:0;mso-width-percent:0;mso-height-percent:0" o:ole="">
                  <v:imagedata r:id="rId25" o:title=""/>
                </v:shape>
                <o:OLEObject Type="Embed" ProgID="Equation.3" ShapeID="_x0000_i1035" DrawAspect="Content" ObjectID="_1760539021" r:id="rId26"/>
              </w:object>
            </w:r>
            <w:r w:rsidRPr="00974A34">
              <w:rPr>
                <w:rFonts w:ascii="Times New Roman" w:eastAsia="Times New Roman" w:hAnsi="Times New Roman" w:cs="Times New Roman"/>
                <w:szCs w:val="20"/>
                <w:lang w:val="en-GB"/>
              </w:rPr>
              <w:t xml:space="preserve"> values are given in Table 7.1.1-1</w:t>
            </w:r>
          </w:p>
          <w:p w14:paraId="5BF46ACF" w14:textId="77777777" w:rsidR="00F521B8" w:rsidRPr="00974A34" w:rsidRDefault="00F521B8" w:rsidP="00A468B4">
            <w:pPr>
              <w:spacing w:after="180" w:line="240" w:lineRule="auto"/>
              <w:ind w:left="1135"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r>
            <w:r w:rsidRPr="00974A34">
              <w:rPr>
                <w:rFonts w:ascii="Times New Roman" w:eastAsia="Times New Roman" w:hAnsi="Times New Roman" w:cs="Times New Roman"/>
                <w:noProof/>
                <w:position w:val="-14"/>
                <w:sz w:val="20"/>
                <w:szCs w:val="20"/>
                <w:lang w:val="en-GB"/>
              </w:rPr>
              <w:object w:dxaOrig="1160" w:dyaOrig="380" w14:anchorId="2B9E6724">
                <v:shape id="_x0000_i1036" type="#_x0000_t75" alt="" style="width:59.4pt;height:18.6pt;mso-width-percent:0;mso-height-percent:0;mso-width-percent:0;mso-height-percent:0" o:ole="">
                  <v:imagedata r:id="rId27" o:title=""/>
                </v:shape>
                <o:OLEObject Type="Embed" ProgID="Equation.DSMT4" ShapeID="_x0000_i1036" DrawAspect="Content" ObjectID="_1760539022" r:id="rId28"/>
              </w:object>
            </w:r>
            <w:r w:rsidRPr="00974A34">
              <w:rPr>
                <w:rFonts w:ascii="Times New Roman" w:eastAsia="Times New Roman" w:hAnsi="Times New Roman" w:cs="Times New Roman"/>
                <w:szCs w:val="20"/>
                <w:lang w:val="en-GB"/>
              </w:rPr>
              <w:t xml:space="preserve"> is jointly coded with other TPC commands in a PDCCH with DCI format 2_3</w:t>
            </w:r>
            <w:r w:rsidRPr="00974A34">
              <w:rPr>
                <w:rFonts w:ascii="Times New Roman" w:eastAsia="Times New Roman" w:hAnsi="Times New Roman" w:cs="Times New Roman"/>
                <w:szCs w:val="20"/>
              </w:rPr>
              <w:t>, as described in Clause 11.4</w:t>
            </w:r>
          </w:p>
        </w:tc>
      </w:tr>
    </w:tbl>
    <w:p w14:paraId="39B17DC0" w14:textId="77777777" w:rsidR="00F521B8" w:rsidRDefault="00F521B8" w:rsidP="00F521B8">
      <w:pPr>
        <w:rPr>
          <w:lang w:val="en-GB"/>
        </w:rPr>
      </w:pPr>
    </w:p>
    <w:p w14:paraId="693211BA" w14:textId="32CA90BB" w:rsidR="00F521B8" w:rsidRDefault="00F521B8" w:rsidP="00F521B8">
      <w:r>
        <w:t>While in our view text proposal 2.</w:t>
      </w:r>
      <w:r w:rsidR="00907E5A">
        <w:t>4</w:t>
      </w:r>
      <w:r>
        <w:t xml:space="preserve"> is needed given the inconsistent identification of optional parameters in 38.213 power control, there was not much support for it from other companies in RAN1#114</w:t>
      </w:r>
      <w:r w:rsidR="0065742C">
        <w:t xml:space="preserve"> or in RAN1#114bis</w:t>
      </w:r>
      <w:r>
        <w:t xml:space="preserve">.  However, if support for DCI 1_1 and 1_2 with SRS carrier switching is clearly given elsewhere in specifications, </w:t>
      </w:r>
      <w:proofErr w:type="gramStart"/>
      <w:r>
        <w:t>in particular in</w:t>
      </w:r>
      <w:proofErr w:type="gramEnd"/>
      <w:r>
        <w:t xml:space="preserve"> 38.214 section 6.2.1.3 as proposed above, there is less risk of assuming that DCI 2_3 based power control is required for SRS carrier switching. </w:t>
      </w:r>
    </w:p>
    <w:p w14:paraId="4963BBF9" w14:textId="4E059599" w:rsidR="00FA1F2D" w:rsidRPr="00E17A7E" w:rsidRDefault="00FA1F2D" w:rsidP="00FA1F2D">
      <w:pPr>
        <w:spacing w:after="0" w:line="240" w:lineRule="auto"/>
        <w:rPr>
          <w:rFonts w:cs="Arial"/>
          <w:b/>
          <w:bCs/>
          <w:szCs w:val="20"/>
          <w:u w:val="single"/>
          <w:lang w:val="en-GB" w:eastAsia="ja-JP"/>
        </w:rPr>
      </w:pPr>
      <w:bookmarkStart w:id="3" w:name="_Toc146620961"/>
      <w:r w:rsidRPr="00E17A7E">
        <w:rPr>
          <w:rFonts w:cs="Arial"/>
          <w:b/>
          <w:bCs/>
          <w:szCs w:val="20"/>
          <w:u w:val="single"/>
          <w:lang w:val="en-GB" w:eastAsia="ja-JP"/>
        </w:rPr>
        <w:t xml:space="preserve">Proposal </w:t>
      </w:r>
      <w:r w:rsidR="007D1E5B">
        <w:rPr>
          <w:rFonts w:cs="Arial"/>
          <w:b/>
          <w:bCs/>
          <w:szCs w:val="20"/>
          <w:u w:val="single"/>
          <w:lang w:val="en-GB" w:eastAsia="ja-JP"/>
        </w:rPr>
        <w:t>2.4</w:t>
      </w:r>
      <w:r w:rsidRPr="00E17A7E">
        <w:rPr>
          <w:rFonts w:cs="Arial"/>
          <w:b/>
          <w:bCs/>
          <w:szCs w:val="20"/>
          <w:u w:val="single"/>
          <w:lang w:val="en-GB" w:eastAsia="ja-JP"/>
        </w:rPr>
        <w:t>:</w:t>
      </w:r>
    </w:p>
    <w:p w14:paraId="5F2A5798" w14:textId="0C403961" w:rsidR="001F5287" w:rsidRPr="00FA1F2D" w:rsidRDefault="00AF0577" w:rsidP="00FA1F2D">
      <w:pPr>
        <w:pStyle w:val="ListParagraph"/>
        <w:numPr>
          <w:ilvl w:val="0"/>
          <w:numId w:val="29"/>
        </w:numPr>
        <w:rPr>
          <w:lang w:val="en-GB"/>
        </w:rPr>
      </w:pPr>
      <w:r w:rsidRPr="00FA1F2D">
        <w:rPr>
          <w:rFonts w:ascii="Arial" w:hAnsi="Arial" w:cs="Arial"/>
          <w:sz w:val="20"/>
          <w:szCs w:val="20"/>
        </w:rPr>
        <w:t xml:space="preserve">Revisit the need to correct 38.213 section 7.3.1 for the optional use of DCI 2_3 based power control if corrections to SRS configurations and which </w:t>
      </w:r>
      <w:proofErr w:type="spellStart"/>
      <w:r w:rsidRPr="00FA1F2D">
        <w:rPr>
          <w:rFonts w:ascii="Arial" w:hAnsi="Arial" w:cs="Arial"/>
          <w:sz w:val="20"/>
          <w:szCs w:val="20"/>
        </w:rPr>
        <w:t>cells</w:t>
      </w:r>
      <w:proofErr w:type="spellEnd"/>
      <w:r w:rsidRPr="00FA1F2D">
        <w:rPr>
          <w:rFonts w:ascii="Arial" w:hAnsi="Arial" w:cs="Arial"/>
          <w:sz w:val="20"/>
          <w:szCs w:val="20"/>
        </w:rPr>
        <w:t xml:space="preserve"> the SRS is transmitted on are not made</w:t>
      </w:r>
      <w:r w:rsidR="007B0737" w:rsidRPr="00FA1F2D">
        <w:rPr>
          <w:rFonts w:ascii="Arial" w:hAnsi="Arial" w:cs="Arial"/>
          <w:sz w:val="20"/>
          <w:szCs w:val="20"/>
        </w:rPr>
        <w:t xml:space="preserve"> in 38.214 section 6.2.1.3</w:t>
      </w:r>
      <w:r w:rsidRPr="00FA1F2D">
        <w:rPr>
          <w:rFonts w:ascii="Arial" w:hAnsi="Arial" w:cs="Arial"/>
          <w:sz w:val="20"/>
          <w:szCs w:val="20"/>
        </w:rPr>
        <w:t>.</w:t>
      </w:r>
      <w:bookmarkEnd w:id="3"/>
    </w:p>
    <w:p w14:paraId="37EB5693" w14:textId="77777777" w:rsidR="00C01F33" w:rsidRPr="00CE0424" w:rsidRDefault="00C01F33" w:rsidP="00CE0424">
      <w:pPr>
        <w:pStyle w:val="Heading1"/>
      </w:pPr>
      <w:r w:rsidRPr="00CE0424">
        <w:t>Conclusion</w:t>
      </w:r>
    </w:p>
    <w:p w14:paraId="6584278B" w14:textId="469EF125" w:rsidR="008E065E" w:rsidRDefault="008B33A7" w:rsidP="009706B4">
      <w:pPr>
        <w:pStyle w:val="BodyText"/>
      </w:pPr>
      <w:r>
        <w:t xml:space="preserve">In this contribution, we have considered what is supported for aperiodic SRS carrier switching and what should be clarified in the RAN1 specifications.  </w:t>
      </w:r>
      <w:r w:rsidR="00B37649">
        <w:t>Our observations and proposals can be summarized:</w:t>
      </w:r>
    </w:p>
    <w:p w14:paraId="5A95E385" w14:textId="3BB848E8" w:rsidR="00B37649" w:rsidRPr="00B37649" w:rsidRDefault="00B37649" w:rsidP="00B37649">
      <w:pPr>
        <w:pStyle w:val="BodyText"/>
        <w:rPr>
          <w:b/>
          <w:bCs/>
          <w:u w:val="single"/>
        </w:rPr>
      </w:pPr>
      <w:r w:rsidRPr="00B37649">
        <w:rPr>
          <w:b/>
          <w:bCs/>
          <w:u w:val="single"/>
        </w:rPr>
        <w:t>Regarding the need for UE capability for support of DCI format 1_1 and 1_2 with SRS carrier switching:</w:t>
      </w:r>
    </w:p>
    <w:p w14:paraId="5D866208" w14:textId="0CD99CB8" w:rsidR="00F33047" w:rsidRDefault="00F33047" w:rsidP="00D635D5">
      <w:pPr>
        <w:pStyle w:val="BodyText"/>
        <w:spacing w:after="0"/>
        <w:jc w:val="left"/>
      </w:pPr>
      <w:r w:rsidRPr="00F33047">
        <w:lastRenderedPageBreak/>
        <w:t xml:space="preserve">While </w:t>
      </w:r>
      <w:r>
        <w:t>there is good consensus for</w:t>
      </w:r>
      <w:r w:rsidR="00E94C49">
        <w:t>,</w:t>
      </w:r>
      <w:r>
        <w:t xml:space="preserve"> and common understanding of</w:t>
      </w:r>
      <w:r w:rsidR="00E94C49">
        <w:t>,</w:t>
      </w:r>
      <w:r>
        <w:t xml:space="preserve"> the operation of downlink DCI triggering of SRS carrier switching</w:t>
      </w:r>
      <w:r w:rsidR="00E94C49">
        <w:t xml:space="preserve"> in RAN1#114bis, a concern was raised regarding support for combinations of triggers.  Therefore, the proposal on UE capabilities was revised.</w:t>
      </w:r>
    </w:p>
    <w:p w14:paraId="7764F271" w14:textId="77777777" w:rsidR="00F33047" w:rsidRPr="00F33047" w:rsidRDefault="00F33047" w:rsidP="00D635D5">
      <w:pPr>
        <w:pStyle w:val="BodyText"/>
        <w:spacing w:after="0"/>
        <w:jc w:val="left"/>
      </w:pPr>
    </w:p>
    <w:p w14:paraId="3DB7CCC9" w14:textId="69860351" w:rsidR="00EE5C2C" w:rsidRPr="00B37649" w:rsidRDefault="00EE5C2C" w:rsidP="00D635D5">
      <w:pPr>
        <w:pStyle w:val="BodyText"/>
        <w:spacing w:after="0"/>
        <w:jc w:val="left"/>
        <w:rPr>
          <w:u w:val="single"/>
        </w:rPr>
      </w:pPr>
      <w:r w:rsidRPr="00B37649">
        <w:rPr>
          <w:u w:val="single"/>
        </w:rPr>
        <w:t xml:space="preserve">Observation </w:t>
      </w:r>
      <w:r w:rsidR="00355539">
        <w:rPr>
          <w:u w:val="single"/>
        </w:rPr>
        <w:t>2.1.</w:t>
      </w:r>
      <w:r w:rsidRPr="00B37649">
        <w:rPr>
          <w:u w:val="single"/>
        </w:rPr>
        <w:t>1:</w:t>
      </w:r>
    </w:p>
    <w:p w14:paraId="4F380739" w14:textId="77777777" w:rsidR="00EE5C2C" w:rsidRDefault="00EE5C2C" w:rsidP="00EE5C2C">
      <w:pPr>
        <w:pStyle w:val="BodyText"/>
        <w:numPr>
          <w:ilvl w:val="0"/>
          <w:numId w:val="26"/>
        </w:numPr>
      </w:pPr>
      <w:r>
        <w:t xml:space="preserve">There is consensus in RAN1 that </w:t>
      </w:r>
      <w:r w:rsidRPr="007A456E">
        <w:t xml:space="preserve">DCI 1_1 and 1_2 triggering </w:t>
      </w:r>
      <w:proofErr w:type="gramStart"/>
      <w:r w:rsidRPr="007A456E">
        <w:t>are</w:t>
      </w:r>
      <w:proofErr w:type="gramEnd"/>
      <w:r w:rsidRPr="007A456E">
        <w:t xml:space="preserve"> supported for aperiodic SRS carrier switching</w:t>
      </w:r>
      <w:r>
        <w:t xml:space="preserve">, but one UE vendor may need additional UE capabilities when triggered by </w:t>
      </w:r>
      <w:r w:rsidRPr="007A456E">
        <w:t>multiple DCI format 1_1/1_2 PDCCHs</w:t>
      </w:r>
      <w:r>
        <w:t xml:space="preserve"> or by DCI 2_3 in addition to DCI format 1_1/1_2.</w:t>
      </w:r>
    </w:p>
    <w:p w14:paraId="1968BD71" w14:textId="553A2BA4" w:rsidR="006C2F1E" w:rsidRPr="00B37649" w:rsidRDefault="006C2F1E" w:rsidP="00D635D5">
      <w:pPr>
        <w:pStyle w:val="BodyText"/>
        <w:spacing w:after="0"/>
        <w:jc w:val="left"/>
        <w:rPr>
          <w:u w:val="single"/>
        </w:rPr>
      </w:pPr>
      <w:r w:rsidRPr="00B37649">
        <w:rPr>
          <w:u w:val="single"/>
        </w:rPr>
        <w:t>Observation 2</w:t>
      </w:r>
      <w:r w:rsidR="00355539">
        <w:rPr>
          <w:u w:val="single"/>
        </w:rPr>
        <w:t>.1.2</w:t>
      </w:r>
      <w:r w:rsidRPr="00B37649">
        <w:rPr>
          <w:u w:val="single"/>
        </w:rPr>
        <w:t>:</w:t>
      </w:r>
    </w:p>
    <w:p w14:paraId="623848AD" w14:textId="77777777" w:rsidR="006C2F1E" w:rsidRDefault="006C2F1E" w:rsidP="006C2F1E">
      <w:pPr>
        <w:pStyle w:val="BodyText"/>
        <w:numPr>
          <w:ilvl w:val="0"/>
          <w:numId w:val="26"/>
        </w:numPr>
      </w:pPr>
      <w:r>
        <w:t xml:space="preserve">Since DCI 1_1 &amp; 1_2 </w:t>
      </w:r>
      <w:proofErr w:type="gramStart"/>
      <w:r>
        <w:t>are</w:t>
      </w:r>
      <w:proofErr w:type="gramEnd"/>
      <w:r>
        <w:t xml:space="preserve"> supported for SRS carrier switching triggering, a</w:t>
      </w:r>
      <w:r w:rsidRPr="0032612D">
        <w:t>ccording to current UE capabilities, UEs that support SRS carrier switching must do so for any combination of DCI 1_1/1_2 triggers from multiple cells or with DCI format 2_3 that the UE can support SRS carrier switching upon.</w:t>
      </w:r>
    </w:p>
    <w:p w14:paraId="244910A2" w14:textId="77777777" w:rsidR="006C2F1E" w:rsidRDefault="006C2F1E" w:rsidP="006C2F1E">
      <w:pPr>
        <w:pStyle w:val="BodyText"/>
        <w:numPr>
          <w:ilvl w:val="1"/>
          <w:numId w:val="26"/>
        </w:numPr>
      </w:pPr>
      <w:r>
        <w:t xml:space="preserve">Adding </w:t>
      </w:r>
      <w:r w:rsidRPr="0032612D">
        <w:t xml:space="preserve">capability for UEs that support SRS carrier switching </w:t>
      </w:r>
      <w:r>
        <w:t xml:space="preserve">only </w:t>
      </w:r>
      <w:r w:rsidRPr="0032612D">
        <w:t>with constrain</w:t>
      </w:r>
      <w:r>
        <w:t>ed</w:t>
      </w:r>
      <w:r w:rsidRPr="0032612D">
        <w:t xml:space="preserve"> configur</w:t>
      </w:r>
      <w:r>
        <w:t>ations</w:t>
      </w:r>
      <w:r w:rsidRPr="0032612D">
        <w:t xml:space="preserve"> </w:t>
      </w:r>
      <w:r>
        <w:t xml:space="preserve">could avoid the need for such UEs to </w:t>
      </w:r>
      <w:r w:rsidRPr="0032612D">
        <w:t>under report sup</w:t>
      </w:r>
      <w:r>
        <w:t>port for carrier switching.</w:t>
      </w:r>
    </w:p>
    <w:p w14:paraId="517ECCEE" w14:textId="33A91E07" w:rsidR="006C2F1E" w:rsidRPr="00B37649" w:rsidRDefault="006C2F1E" w:rsidP="00D635D5">
      <w:pPr>
        <w:pStyle w:val="BodyText"/>
        <w:spacing w:after="0"/>
        <w:jc w:val="left"/>
        <w:rPr>
          <w:u w:val="single"/>
        </w:rPr>
      </w:pPr>
      <w:r w:rsidRPr="00B37649">
        <w:rPr>
          <w:u w:val="single"/>
        </w:rPr>
        <w:t xml:space="preserve">Proposal </w:t>
      </w:r>
      <w:r w:rsidR="00355539">
        <w:rPr>
          <w:u w:val="single"/>
        </w:rPr>
        <w:t>2.1</w:t>
      </w:r>
      <w:r w:rsidRPr="00B37649">
        <w:rPr>
          <w:u w:val="single"/>
        </w:rPr>
        <w:t>:</w:t>
      </w:r>
    </w:p>
    <w:p w14:paraId="0888ADB7" w14:textId="77777777" w:rsidR="006C2F1E" w:rsidRDefault="006C2F1E" w:rsidP="006C2F1E">
      <w:pPr>
        <w:pStyle w:val="BodyText"/>
      </w:pPr>
      <w:r>
        <w:t>Adopt one of the following alternatives for SRS carrier switching triggered by DCI 1_1/1_2:</w:t>
      </w:r>
    </w:p>
    <w:p w14:paraId="7E7D047E" w14:textId="77777777" w:rsidR="006C2F1E" w:rsidRDefault="006C2F1E" w:rsidP="006C2F1E">
      <w:pPr>
        <w:pStyle w:val="BodyText"/>
        <w:numPr>
          <w:ilvl w:val="0"/>
          <w:numId w:val="25"/>
        </w:numPr>
      </w:pPr>
      <w:r>
        <w:t xml:space="preserve">Alt 1: </w:t>
      </w:r>
      <w:r w:rsidRPr="0090139E">
        <w:t xml:space="preserve">RAN1 concludes that DCI 1_1 and 1_2 triggering </w:t>
      </w:r>
      <w:proofErr w:type="gramStart"/>
      <w:r w:rsidRPr="0090139E">
        <w:t>are</w:t>
      </w:r>
      <w:proofErr w:type="gramEnd"/>
      <w:r w:rsidRPr="0090139E">
        <w:t xml:space="preserve"> supported, subject to existing UE capabilities, for aperiodic SRS carrier switching in Rel-15, and no new UE capability is defined for the support of DCI 1_1 and 1_2 triggering for aperiodic SRS carrier switching</w:t>
      </w:r>
    </w:p>
    <w:p w14:paraId="1D224CC3" w14:textId="77777777" w:rsidR="006C2F1E" w:rsidRDefault="006C2F1E" w:rsidP="006C2F1E">
      <w:pPr>
        <w:pStyle w:val="BodyText"/>
        <w:numPr>
          <w:ilvl w:val="0"/>
          <w:numId w:val="25"/>
        </w:numPr>
      </w:pPr>
      <w:r>
        <w:t xml:space="preserve">Alt 2: Define one Rel-17 UE capability where the UE supports SRS carrier switching triggered by DCI 1_1/1_2 for </w:t>
      </w:r>
      <w:r w:rsidRPr="00D847F0">
        <w:t xml:space="preserve">only a carrier of one serving cell and </w:t>
      </w:r>
      <w:r>
        <w:t>when</w:t>
      </w:r>
      <w:r w:rsidRPr="00D847F0">
        <w:t xml:space="preserve"> not configured with DCI format 2_3</w:t>
      </w:r>
      <w:r>
        <w:t>.</w:t>
      </w:r>
    </w:p>
    <w:p w14:paraId="47E79966" w14:textId="77777777" w:rsidR="006C2F1E" w:rsidRDefault="006C2F1E" w:rsidP="006C2F1E">
      <w:pPr>
        <w:pStyle w:val="BodyText"/>
        <w:numPr>
          <w:ilvl w:val="0"/>
          <w:numId w:val="25"/>
        </w:numPr>
      </w:pPr>
      <w:r>
        <w:t>Alt 3: Define two Rel-17 UE capabilities:</w:t>
      </w:r>
    </w:p>
    <w:p w14:paraId="1AF4BF9D" w14:textId="77777777" w:rsidR="006C2F1E" w:rsidRDefault="006C2F1E" w:rsidP="006C2F1E">
      <w:pPr>
        <w:pStyle w:val="BodyText"/>
        <w:numPr>
          <w:ilvl w:val="1"/>
          <w:numId w:val="25"/>
        </w:numPr>
      </w:pPr>
      <w:r>
        <w:t xml:space="preserve">Capability #1: The UE supports SRS carrier switching triggered by DCI 1_1/1_2 for </w:t>
      </w:r>
      <w:r w:rsidRPr="00D847F0">
        <w:t>only a carrier of one serving cell</w:t>
      </w:r>
      <w:r>
        <w:t>.</w:t>
      </w:r>
      <w:r w:rsidRPr="00D847F0">
        <w:t xml:space="preserve"> </w:t>
      </w:r>
    </w:p>
    <w:p w14:paraId="3A67B08B" w14:textId="77777777" w:rsidR="006C2F1E" w:rsidRDefault="006C2F1E" w:rsidP="006C2F1E">
      <w:pPr>
        <w:pStyle w:val="BodyText"/>
        <w:numPr>
          <w:ilvl w:val="1"/>
          <w:numId w:val="25"/>
        </w:numPr>
      </w:pPr>
      <w:r>
        <w:t>Capability #2: The UE supports SRS carrier switching triggered by DCI 1_1/1_2 when</w:t>
      </w:r>
      <w:r w:rsidRPr="00D847F0">
        <w:t xml:space="preserve"> not configured with DCI format 2_3</w:t>
      </w:r>
      <w:r>
        <w:t>.</w:t>
      </w:r>
    </w:p>
    <w:p w14:paraId="2432FD76" w14:textId="77777777" w:rsidR="00B37649" w:rsidRDefault="00B37649" w:rsidP="009706B4">
      <w:pPr>
        <w:pStyle w:val="BodyText"/>
        <w:rPr>
          <w:b/>
          <w:bCs/>
          <w:u w:val="single"/>
        </w:rPr>
      </w:pPr>
    </w:p>
    <w:p w14:paraId="254E8CDD" w14:textId="6F838931" w:rsidR="006C2F1E" w:rsidRPr="00B37649" w:rsidRDefault="00B37649" w:rsidP="009706B4">
      <w:pPr>
        <w:pStyle w:val="BodyText"/>
        <w:rPr>
          <w:b/>
          <w:bCs/>
          <w:u w:val="single"/>
        </w:rPr>
      </w:pPr>
      <w:r w:rsidRPr="00B37649">
        <w:rPr>
          <w:b/>
          <w:bCs/>
          <w:u w:val="single"/>
        </w:rPr>
        <w:t>For specification corrections to identify SRS configuration and transmission constraints</w:t>
      </w:r>
    </w:p>
    <w:p w14:paraId="588599B4" w14:textId="5B48F4DA" w:rsidR="00480CC2" w:rsidRDefault="00480CC2" w:rsidP="00D635D5">
      <w:pPr>
        <w:spacing w:after="0"/>
      </w:pPr>
      <w:r>
        <w:t xml:space="preserve">The need to explicitly identify the supported SRS configurations and transmission constraints in L1 specifications was further discussed in RAN1#114bis.  Consensus was reached on a number of these aspects that in our view clearly support the need for a specification correction.  We therefore reiterate the </w:t>
      </w:r>
      <w:r w:rsidR="0098090A">
        <w:t>t</w:t>
      </w:r>
      <w:r>
        <w:t xml:space="preserve">ext proposal from </w:t>
      </w:r>
      <w:r>
        <w:fldChar w:fldCharType="begin"/>
      </w:r>
      <w:r>
        <w:instrText xml:space="preserve"> REF _Ref146564676 \r \h </w:instrText>
      </w:r>
      <w:r>
        <w:fldChar w:fldCharType="separate"/>
      </w:r>
      <w:r>
        <w:t>[2]</w:t>
      </w:r>
      <w:r>
        <w:fldChar w:fldCharType="end"/>
      </w:r>
      <w:r>
        <w:t xml:space="preserve"> that explicitly identifies the DCI formats supported for aperiodic SRS carrier switching, that the </w:t>
      </w:r>
      <w:r w:rsidRPr="0065742C">
        <w:t>UE transmits SRS on one serving cell</w:t>
      </w:r>
      <w:r>
        <w:t>, and that at most one or two SRS resource sets are used</w:t>
      </w:r>
      <w:r w:rsidR="00072664">
        <w:t>, but target the Rel-17 version of 38.214</w:t>
      </w:r>
      <w:r>
        <w:t xml:space="preserve">. </w:t>
      </w:r>
    </w:p>
    <w:p w14:paraId="2349C318" w14:textId="77777777" w:rsidR="00480CC2" w:rsidRPr="00480CC2" w:rsidRDefault="00480CC2" w:rsidP="00D635D5">
      <w:pPr>
        <w:spacing w:after="0"/>
      </w:pPr>
    </w:p>
    <w:p w14:paraId="54A47EA4" w14:textId="2DEC0F2C" w:rsidR="006C2F1E" w:rsidRPr="00B37649" w:rsidRDefault="006C2F1E" w:rsidP="00D635D5">
      <w:pPr>
        <w:spacing w:after="0"/>
        <w:rPr>
          <w:u w:val="single"/>
        </w:rPr>
      </w:pPr>
      <w:r w:rsidRPr="00B37649">
        <w:rPr>
          <w:u w:val="single"/>
        </w:rPr>
        <w:t xml:space="preserve">Observation </w:t>
      </w:r>
      <w:r w:rsidR="00355539">
        <w:rPr>
          <w:u w:val="single"/>
        </w:rPr>
        <w:t>2.2.1</w:t>
      </w:r>
      <w:r w:rsidRPr="00B37649">
        <w:rPr>
          <w:u w:val="single"/>
        </w:rPr>
        <w:t>:</w:t>
      </w:r>
    </w:p>
    <w:p w14:paraId="459B4447" w14:textId="77777777" w:rsidR="006C2F1E" w:rsidRPr="003E109E" w:rsidRDefault="006C2F1E" w:rsidP="006C2F1E">
      <w:pPr>
        <w:spacing w:after="0"/>
        <w:rPr>
          <w:rFonts w:cs="Arial"/>
          <w:szCs w:val="20"/>
        </w:rPr>
      </w:pPr>
      <w:r w:rsidRPr="003E109E">
        <w:rPr>
          <w:rFonts w:cs="Arial"/>
          <w:szCs w:val="20"/>
        </w:rPr>
        <w:t xml:space="preserve">There was consensus in RAN1#114bis </w:t>
      </w:r>
      <w:r>
        <w:rPr>
          <w:rFonts w:cs="Arial"/>
          <w:szCs w:val="20"/>
        </w:rPr>
        <w:fldChar w:fldCharType="begin"/>
      </w:r>
      <w:r>
        <w:rPr>
          <w:rFonts w:cs="Arial"/>
          <w:szCs w:val="20"/>
        </w:rPr>
        <w:instrText xml:space="preserve"> REF _Ref146564676 \r \h </w:instrText>
      </w:r>
      <w:r>
        <w:rPr>
          <w:rFonts w:cs="Arial"/>
          <w:szCs w:val="20"/>
        </w:rPr>
      </w:r>
      <w:r>
        <w:rPr>
          <w:rFonts w:cs="Arial"/>
          <w:szCs w:val="20"/>
        </w:rPr>
        <w:fldChar w:fldCharType="separate"/>
      </w:r>
      <w:r>
        <w:rPr>
          <w:rFonts w:cs="Arial"/>
          <w:szCs w:val="20"/>
        </w:rPr>
        <w:t>[2]</w:t>
      </w:r>
      <w:r>
        <w:rPr>
          <w:rFonts w:cs="Arial"/>
          <w:szCs w:val="20"/>
        </w:rPr>
        <w:fldChar w:fldCharType="end"/>
      </w:r>
      <w:r>
        <w:rPr>
          <w:rFonts w:cs="Arial"/>
          <w:szCs w:val="20"/>
        </w:rPr>
        <w:t xml:space="preserve"> for </w:t>
      </w:r>
      <w:r w:rsidRPr="003E109E">
        <w:rPr>
          <w:rFonts w:cs="Arial"/>
          <w:szCs w:val="20"/>
        </w:rPr>
        <w:t xml:space="preserve">aperiodic carrier switching with DCI 1_1/1_2 that the </w:t>
      </w:r>
      <w:proofErr w:type="gramStart"/>
      <w:r w:rsidRPr="003E109E">
        <w:rPr>
          <w:rFonts w:cs="Arial"/>
          <w:szCs w:val="20"/>
        </w:rPr>
        <w:t>UE</w:t>
      </w:r>
      <w:proofErr w:type="gramEnd"/>
    </w:p>
    <w:p w14:paraId="70972471" w14:textId="77777777" w:rsidR="006C2F1E" w:rsidRPr="003E109E" w:rsidRDefault="006C2F1E" w:rsidP="006C2F1E">
      <w:pPr>
        <w:pStyle w:val="ListParagraph"/>
        <w:numPr>
          <w:ilvl w:val="0"/>
          <w:numId w:val="28"/>
        </w:numPr>
        <w:rPr>
          <w:rFonts w:ascii="Arial" w:hAnsi="Arial" w:cs="Arial"/>
          <w:sz w:val="20"/>
          <w:szCs w:val="20"/>
        </w:rPr>
      </w:pPr>
      <w:r w:rsidRPr="003E109E">
        <w:rPr>
          <w:rFonts w:ascii="Arial" w:hAnsi="Arial" w:cs="Arial"/>
          <w:sz w:val="20"/>
          <w:szCs w:val="20"/>
        </w:rPr>
        <w:t>Transmits SRS on one serving cell scheduled by the DCI and that this is not explicitly stated in L1 specifications</w:t>
      </w:r>
    </w:p>
    <w:p w14:paraId="715DFC48" w14:textId="2A52928B" w:rsidR="006C2F1E" w:rsidRPr="0056112F" w:rsidRDefault="0056112F" w:rsidP="00985AA8">
      <w:pPr>
        <w:pStyle w:val="ListParagraph"/>
        <w:numPr>
          <w:ilvl w:val="0"/>
          <w:numId w:val="28"/>
        </w:numPr>
        <w:rPr>
          <w:rFonts w:ascii="Arial" w:hAnsi="Arial" w:cs="Arial"/>
          <w:sz w:val="20"/>
          <w:szCs w:val="20"/>
        </w:rPr>
      </w:pPr>
      <w:r w:rsidRPr="0056112F">
        <w:rPr>
          <w:rFonts w:ascii="Arial" w:hAnsi="Arial" w:cs="Arial"/>
          <w:sz w:val="20"/>
          <w:szCs w:val="20"/>
        </w:rPr>
        <w:t>Must use SRS resource sets with usage ‘</w:t>
      </w:r>
      <w:proofErr w:type="spellStart"/>
      <w:r w:rsidRPr="0056112F">
        <w:rPr>
          <w:rFonts w:ascii="Arial" w:hAnsi="Arial" w:cs="Arial"/>
          <w:sz w:val="20"/>
          <w:szCs w:val="20"/>
        </w:rPr>
        <w:t>antennaSwitching</w:t>
      </w:r>
      <w:proofErr w:type="spellEnd"/>
      <w:r w:rsidRPr="0056112F">
        <w:rPr>
          <w:rFonts w:ascii="Arial" w:hAnsi="Arial" w:cs="Arial"/>
          <w:sz w:val="20"/>
          <w:szCs w:val="20"/>
        </w:rPr>
        <w:t>’ for SRS carriers switching and that this is stated for the case of triggering with DCI format 2_3, but not for other DCI formats</w:t>
      </w:r>
    </w:p>
    <w:p w14:paraId="3DA45276" w14:textId="77777777" w:rsidR="006C2F1E" w:rsidRPr="003E109E" w:rsidRDefault="006C2F1E" w:rsidP="006C2F1E">
      <w:pPr>
        <w:pStyle w:val="ListParagraph"/>
        <w:numPr>
          <w:ilvl w:val="0"/>
          <w:numId w:val="28"/>
        </w:numPr>
        <w:rPr>
          <w:rFonts w:ascii="Arial" w:hAnsi="Arial" w:cs="Arial"/>
          <w:sz w:val="20"/>
          <w:szCs w:val="20"/>
        </w:rPr>
      </w:pPr>
      <w:r w:rsidRPr="003E109E">
        <w:rPr>
          <w:rFonts w:ascii="Arial" w:hAnsi="Arial" w:cs="Arial"/>
          <w:sz w:val="20"/>
          <w:szCs w:val="20"/>
        </w:rPr>
        <w:t xml:space="preserve">Supports at least self-scheduling for DCI 1_1/1_2 triggered aperiodic SRS carrier switching.  </w:t>
      </w:r>
    </w:p>
    <w:p w14:paraId="63FC5FE4" w14:textId="77777777" w:rsidR="006C2F1E" w:rsidRPr="003E109E" w:rsidRDefault="006C2F1E" w:rsidP="00D635D5">
      <w:pPr>
        <w:pStyle w:val="ListParagraph"/>
        <w:numPr>
          <w:ilvl w:val="1"/>
          <w:numId w:val="28"/>
        </w:numPr>
        <w:spacing w:after="120"/>
        <w:rPr>
          <w:rFonts w:ascii="Arial" w:hAnsi="Arial" w:cs="Arial"/>
          <w:sz w:val="20"/>
          <w:szCs w:val="20"/>
        </w:rPr>
      </w:pPr>
      <w:r w:rsidRPr="003E109E">
        <w:rPr>
          <w:rFonts w:ascii="Arial" w:hAnsi="Arial" w:cs="Arial"/>
          <w:sz w:val="20"/>
          <w:szCs w:val="20"/>
        </w:rPr>
        <w:t>Cross-carrier scheduling can be additionally supported according to capability for cross-carrier scheduling.</w:t>
      </w:r>
    </w:p>
    <w:p w14:paraId="663C39B7" w14:textId="77777777" w:rsidR="0098090A" w:rsidRPr="0098090A" w:rsidRDefault="0098090A" w:rsidP="0098090A">
      <w:pPr>
        <w:spacing w:after="0"/>
        <w:rPr>
          <w:rFonts w:cs="Arial"/>
          <w:szCs w:val="20"/>
          <w:u w:val="single"/>
        </w:rPr>
      </w:pPr>
      <w:r w:rsidRPr="0098090A">
        <w:rPr>
          <w:rFonts w:cs="Arial"/>
          <w:szCs w:val="20"/>
          <w:u w:val="single"/>
        </w:rPr>
        <w:t>Observation 2.2.2:</w:t>
      </w:r>
    </w:p>
    <w:p w14:paraId="2F7F01FD" w14:textId="77777777" w:rsidR="0098090A" w:rsidRPr="00F27C39" w:rsidRDefault="0098090A" w:rsidP="0098090A">
      <w:pPr>
        <w:pStyle w:val="ListParagraph"/>
        <w:numPr>
          <w:ilvl w:val="0"/>
          <w:numId w:val="33"/>
        </w:numPr>
        <w:rPr>
          <w:rFonts w:ascii="Arial" w:hAnsi="Arial" w:cs="Arial"/>
          <w:sz w:val="20"/>
          <w:szCs w:val="20"/>
        </w:rPr>
      </w:pPr>
      <w:r w:rsidRPr="00F27C39">
        <w:rPr>
          <w:rFonts w:ascii="Arial" w:hAnsi="Arial" w:cs="Arial"/>
          <w:sz w:val="20"/>
          <w:szCs w:val="20"/>
        </w:rPr>
        <w:t xml:space="preserve">A majority of companies thought that support for Rel-17 antenna switching configurations with more than two SRS resource sets </w:t>
      </w:r>
      <w:r>
        <w:rPr>
          <w:rFonts w:ascii="Arial" w:hAnsi="Arial" w:cs="Arial"/>
          <w:sz w:val="20"/>
          <w:szCs w:val="20"/>
          <w:lang w:val="en-US"/>
        </w:rPr>
        <w:t xml:space="preserve">should </w:t>
      </w:r>
      <w:r w:rsidRPr="00F27C39">
        <w:rPr>
          <w:rFonts w:ascii="Arial" w:hAnsi="Arial" w:cs="Arial"/>
          <w:sz w:val="20"/>
          <w:szCs w:val="20"/>
        </w:rPr>
        <w:t xml:space="preserve">be supported and the specifications should be corrected, with no new UE capability.  </w:t>
      </w:r>
    </w:p>
    <w:p w14:paraId="367C1EF4" w14:textId="77777777" w:rsidR="0098090A" w:rsidRPr="00F27C39" w:rsidRDefault="0098090A" w:rsidP="0098090A">
      <w:pPr>
        <w:pStyle w:val="ListParagraph"/>
        <w:numPr>
          <w:ilvl w:val="0"/>
          <w:numId w:val="33"/>
        </w:numPr>
        <w:rPr>
          <w:rFonts w:ascii="Arial" w:hAnsi="Arial" w:cs="Arial"/>
          <w:sz w:val="20"/>
          <w:szCs w:val="20"/>
        </w:rPr>
      </w:pPr>
      <w:r>
        <w:rPr>
          <w:rFonts w:ascii="Arial" w:hAnsi="Arial" w:cs="Arial"/>
          <w:sz w:val="20"/>
          <w:szCs w:val="20"/>
          <w:lang w:val="en-US"/>
        </w:rPr>
        <w:t>On the other hand</w:t>
      </w:r>
      <w:r w:rsidRPr="00F27C39">
        <w:rPr>
          <w:rFonts w:ascii="Arial" w:hAnsi="Arial" w:cs="Arial"/>
          <w:sz w:val="20"/>
          <w:szCs w:val="20"/>
        </w:rPr>
        <w:t xml:space="preserve">, multiple companies did not want a spec change at this time. </w:t>
      </w:r>
    </w:p>
    <w:p w14:paraId="52BC3A86" w14:textId="77777777" w:rsidR="0098090A" w:rsidRPr="00F27C39" w:rsidRDefault="0098090A" w:rsidP="0098090A">
      <w:pPr>
        <w:pStyle w:val="ListParagraph"/>
        <w:numPr>
          <w:ilvl w:val="1"/>
          <w:numId w:val="33"/>
        </w:numPr>
        <w:spacing w:after="120"/>
        <w:rPr>
          <w:rFonts w:ascii="Arial" w:hAnsi="Arial" w:cs="Arial"/>
          <w:sz w:val="20"/>
          <w:szCs w:val="20"/>
        </w:rPr>
      </w:pPr>
      <w:r w:rsidRPr="00F27C39">
        <w:rPr>
          <w:rFonts w:ascii="Arial" w:hAnsi="Arial" w:cs="Arial"/>
          <w:sz w:val="20"/>
          <w:szCs w:val="20"/>
        </w:rPr>
        <w:t>Of the companies that did not want a spec change, some suggested a TEI to support more than two SRS resource sets.</w:t>
      </w:r>
    </w:p>
    <w:p w14:paraId="565E64D2" w14:textId="2A13F765" w:rsidR="006C2F1E" w:rsidRPr="00B37649" w:rsidRDefault="006C2F1E" w:rsidP="00D635D5">
      <w:pPr>
        <w:spacing w:after="0"/>
        <w:rPr>
          <w:rFonts w:cs="Arial"/>
          <w:szCs w:val="20"/>
          <w:u w:val="single"/>
        </w:rPr>
      </w:pPr>
      <w:r w:rsidRPr="00B37649">
        <w:rPr>
          <w:rFonts w:cs="Arial"/>
          <w:szCs w:val="20"/>
          <w:u w:val="single"/>
        </w:rPr>
        <w:lastRenderedPageBreak/>
        <w:t xml:space="preserve">Observation </w:t>
      </w:r>
      <w:r w:rsidR="00355539">
        <w:rPr>
          <w:rFonts w:cs="Arial"/>
          <w:szCs w:val="20"/>
          <w:u w:val="single"/>
        </w:rPr>
        <w:t>2.2.</w:t>
      </w:r>
      <w:r w:rsidR="0098090A">
        <w:rPr>
          <w:rFonts w:cs="Arial"/>
          <w:szCs w:val="20"/>
          <w:u w:val="single"/>
        </w:rPr>
        <w:t>3</w:t>
      </w:r>
      <w:r w:rsidRPr="00B37649">
        <w:rPr>
          <w:rFonts w:cs="Arial"/>
          <w:szCs w:val="20"/>
          <w:u w:val="single"/>
        </w:rPr>
        <w:t>:</w:t>
      </w:r>
    </w:p>
    <w:p w14:paraId="7E4EB868" w14:textId="77777777" w:rsidR="006C2F1E" w:rsidRPr="00E17A7E" w:rsidRDefault="006C2F1E" w:rsidP="006C2F1E">
      <w:pPr>
        <w:pStyle w:val="ListParagraph"/>
        <w:numPr>
          <w:ilvl w:val="0"/>
          <w:numId w:val="29"/>
        </w:numPr>
        <w:rPr>
          <w:rFonts w:ascii="Arial" w:hAnsi="Arial" w:cs="Arial"/>
          <w:sz w:val="20"/>
          <w:szCs w:val="20"/>
        </w:rPr>
      </w:pPr>
      <w:r w:rsidRPr="00E17A7E">
        <w:rPr>
          <w:rFonts w:ascii="Arial" w:hAnsi="Arial" w:cs="Arial"/>
          <w:sz w:val="20"/>
          <w:szCs w:val="20"/>
        </w:rPr>
        <w:t>Since current specifications do not explicitly state which DCI formats are supported, it is not straightforward to establish that DCI 0_1/0_2 is not supported for aperiodic SRS carrier switching.</w:t>
      </w:r>
    </w:p>
    <w:p w14:paraId="5D757376" w14:textId="77777777" w:rsidR="006C2F1E" w:rsidRPr="00F93045" w:rsidRDefault="006C2F1E" w:rsidP="006C2F1E">
      <w:pPr>
        <w:spacing w:after="0"/>
        <w:rPr>
          <w:rFonts w:cs="Arial"/>
          <w:szCs w:val="20"/>
        </w:rPr>
      </w:pPr>
    </w:p>
    <w:p w14:paraId="7DDB5074" w14:textId="3B8075D7" w:rsidR="006C2F1E" w:rsidRPr="00F93045" w:rsidRDefault="006C2F1E" w:rsidP="006C2F1E">
      <w:pPr>
        <w:spacing w:after="0" w:line="240" w:lineRule="auto"/>
        <w:rPr>
          <w:rFonts w:cs="Arial"/>
          <w:szCs w:val="20"/>
          <w:u w:val="single"/>
          <w:lang w:val="en-GB" w:eastAsia="ja-JP"/>
        </w:rPr>
      </w:pPr>
      <w:r w:rsidRPr="00F93045">
        <w:rPr>
          <w:rFonts w:cs="Arial"/>
          <w:szCs w:val="20"/>
          <w:u w:val="single"/>
          <w:lang w:val="en-GB" w:eastAsia="ja-JP"/>
        </w:rPr>
        <w:t>Proposal 2</w:t>
      </w:r>
      <w:r w:rsidR="00355539" w:rsidRPr="00F93045">
        <w:rPr>
          <w:rFonts w:cs="Arial"/>
          <w:szCs w:val="20"/>
          <w:u w:val="single"/>
          <w:lang w:val="en-GB" w:eastAsia="ja-JP"/>
        </w:rPr>
        <w:t>.2</w:t>
      </w:r>
      <w:r w:rsidRPr="00F93045">
        <w:rPr>
          <w:rFonts w:cs="Arial"/>
          <w:szCs w:val="20"/>
          <w:u w:val="single"/>
          <w:lang w:val="en-GB" w:eastAsia="ja-JP"/>
        </w:rPr>
        <w:t>:</w:t>
      </w:r>
    </w:p>
    <w:p w14:paraId="61AA6321" w14:textId="492AB618" w:rsidR="006C2F1E" w:rsidRDefault="006C2F1E" w:rsidP="00D635D5">
      <w:pPr>
        <w:pStyle w:val="ListParagraph"/>
        <w:numPr>
          <w:ilvl w:val="0"/>
          <w:numId w:val="29"/>
        </w:numPr>
        <w:spacing w:line="240" w:lineRule="auto"/>
        <w:rPr>
          <w:rFonts w:ascii="Arial" w:hAnsi="Arial" w:cs="Arial"/>
          <w:sz w:val="20"/>
          <w:szCs w:val="20"/>
        </w:rPr>
      </w:pPr>
      <w:r w:rsidRPr="00F93045">
        <w:rPr>
          <w:rFonts w:ascii="Arial" w:hAnsi="Arial" w:cs="Arial"/>
          <w:sz w:val="20"/>
          <w:szCs w:val="20"/>
        </w:rPr>
        <w:t xml:space="preserve">Change 38.214 section 6.2.1.3 in a Rel-17/18 CR according Text Proposal 2.2 and </w:t>
      </w:r>
      <w:r w:rsidRPr="00F93045">
        <w:rPr>
          <w:rFonts w:ascii="Arial" w:hAnsi="Arial" w:cs="Arial"/>
          <w:sz w:val="20"/>
          <w:szCs w:val="20"/>
        </w:rPr>
        <w:fldChar w:fldCharType="begin"/>
      </w:r>
      <w:r w:rsidRPr="00F93045">
        <w:rPr>
          <w:rFonts w:ascii="Arial" w:hAnsi="Arial" w:cs="Arial"/>
          <w:sz w:val="20"/>
          <w:szCs w:val="20"/>
        </w:rPr>
        <w:instrText xml:space="preserve"> REF _Ref146564714 \r \h </w:instrText>
      </w:r>
      <w:r w:rsidR="00F93045" w:rsidRPr="00F93045">
        <w:rPr>
          <w:rFonts w:ascii="Arial" w:hAnsi="Arial" w:cs="Arial"/>
          <w:sz w:val="20"/>
          <w:szCs w:val="20"/>
        </w:rPr>
        <w:instrText xml:space="preserve"> \* MERGEFORMAT </w:instrText>
      </w:r>
      <w:r w:rsidRPr="00F93045">
        <w:rPr>
          <w:rFonts w:ascii="Arial" w:hAnsi="Arial" w:cs="Arial"/>
          <w:sz w:val="20"/>
          <w:szCs w:val="20"/>
        </w:rPr>
      </w:r>
      <w:r w:rsidRPr="00F93045">
        <w:rPr>
          <w:rFonts w:ascii="Arial" w:hAnsi="Arial" w:cs="Arial"/>
          <w:sz w:val="20"/>
          <w:szCs w:val="20"/>
        </w:rPr>
        <w:fldChar w:fldCharType="separate"/>
      </w:r>
      <w:r w:rsidRPr="00F93045">
        <w:rPr>
          <w:rFonts w:ascii="Arial" w:hAnsi="Arial" w:cs="Arial"/>
          <w:sz w:val="20"/>
          <w:szCs w:val="20"/>
        </w:rPr>
        <w:t>[3]</w:t>
      </w:r>
      <w:r w:rsidRPr="00F93045">
        <w:rPr>
          <w:rFonts w:ascii="Arial" w:hAnsi="Arial" w:cs="Arial"/>
          <w:sz w:val="20"/>
          <w:szCs w:val="20"/>
        </w:rPr>
        <w:fldChar w:fldCharType="end"/>
      </w:r>
    </w:p>
    <w:p w14:paraId="06988B3E" w14:textId="5E624FB0" w:rsidR="00F93045" w:rsidRPr="00F93045" w:rsidRDefault="00F93045" w:rsidP="00F93045">
      <w:pPr>
        <w:pStyle w:val="ListParagraph"/>
        <w:numPr>
          <w:ilvl w:val="1"/>
          <w:numId w:val="29"/>
        </w:numPr>
        <w:spacing w:line="240" w:lineRule="auto"/>
        <w:rPr>
          <w:rFonts w:ascii="Arial" w:hAnsi="Arial" w:cs="Arial"/>
          <w:sz w:val="20"/>
          <w:szCs w:val="20"/>
        </w:rPr>
      </w:pPr>
      <w:r w:rsidRPr="00B63A01">
        <w:rPr>
          <w:rFonts w:ascii="Arial" w:hAnsi="Arial" w:cs="Arial"/>
          <w:sz w:val="20"/>
          <w:szCs w:val="20"/>
        </w:rPr>
        <w:t>Capture on the cover sheet of the CR: “This CR can be implemented in earlier releases than the CR without causing interoperability issues”</w:t>
      </w:r>
    </w:p>
    <w:p w14:paraId="70AE79A4" w14:textId="742DBC40" w:rsidR="006C2F1E" w:rsidRDefault="006C2F1E" w:rsidP="009706B4">
      <w:pPr>
        <w:pStyle w:val="BodyText"/>
        <w:rPr>
          <w:b/>
          <w:bCs/>
        </w:rPr>
      </w:pPr>
    </w:p>
    <w:p w14:paraId="7D1A228E" w14:textId="74B63611" w:rsidR="00B37649" w:rsidRDefault="00B37649" w:rsidP="0080202B">
      <w:pPr>
        <w:pStyle w:val="ListBullet"/>
        <w:keepNext/>
        <w:numPr>
          <w:ilvl w:val="0"/>
          <w:numId w:val="0"/>
        </w:numPr>
        <w:rPr>
          <w:b/>
          <w:bCs/>
          <w:u w:val="single"/>
          <w:lang w:val="en-GB"/>
        </w:rPr>
      </w:pPr>
      <w:r>
        <w:rPr>
          <w:b/>
          <w:bCs/>
          <w:u w:val="single"/>
          <w:lang w:val="en-GB"/>
        </w:rPr>
        <w:t>On if SRS carrier switching supports Rel-17 available slots for SRS</w:t>
      </w:r>
    </w:p>
    <w:p w14:paraId="206B6968" w14:textId="06281D39" w:rsidR="00523C6A" w:rsidRPr="0065400C" w:rsidRDefault="0065400C" w:rsidP="00D635D5">
      <w:pPr>
        <w:pStyle w:val="ListBullet"/>
        <w:numPr>
          <w:ilvl w:val="0"/>
          <w:numId w:val="0"/>
        </w:numPr>
        <w:spacing w:after="0"/>
        <w:jc w:val="left"/>
        <w:rPr>
          <w:lang w:val="en-GB"/>
        </w:rPr>
      </w:pPr>
      <w:r w:rsidRPr="0065400C">
        <w:rPr>
          <w:lang w:val="en-GB"/>
        </w:rPr>
        <w:t xml:space="preserve">During RAN1#114bis, it was also noticed that Rel-17 SRS supports available slot triggering, and whether this can apply to DCI 1_1/1_2 based SRS carrier switching </w:t>
      </w:r>
      <w:r>
        <w:rPr>
          <w:lang w:val="en-GB"/>
        </w:rPr>
        <w:t xml:space="preserve">was proposed to be </w:t>
      </w:r>
      <w:r w:rsidRPr="0065400C">
        <w:rPr>
          <w:lang w:val="en-GB"/>
        </w:rPr>
        <w:t>further discussed</w:t>
      </w:r>
      <w:r>
        <w:rPr>
          <w:lang w:val="en-GB"/>
        </w:rPr>
        <w:t xml:space="preserve"> </w:t>
      </w:r>
      <w:r>
        <w:rPr>
          <w:lang w:val="en-GB"/>
        </w:rPr>
        <w:fldChar w:fldCharType="begin"/>
      </w:r>
      <w:r>
        <w:rPr>
          <w:lang w:val="en-GB"/>
        </w:rPr>
        <w:instrText xml:space="preserve"> REF _Ref146564676 \r \h </w:instrText>
      </w:r>
      <w:r>
        <w:rPr>
          <w:lang w:val="en-GB"/>
        </w:rPr>
      </w:r>
      <w:r>
        <w:rPr>
          <w:lang w:val="en-GB"/>
        </w:rPr>
        <w:fldChar w:fldCharType="separate"/>
      </w:r>
      <w:r>
        <w:rPr>
          <w:lang w:val="en-GB"/>
        </w:rPr>
        <w:t>[2]</w:t>
      </w:r>
      <w:r>
        <w:rPr>
          <w:lang w:val="en-GB"/>
        </w:rPr>
        <w:fldChar w:fldCharType="end"/>
      </w:r>
      <w:r w:rsidRPr="0065400C">
        <w:rPr>
          <w:lang w:val="en-GB"/>
        </w:rPr>
        <w:t>.</w:t>
      </w:r>
      <w:r>
        <w:rPr>
          <w:lang w:val="en-GB"/>
        </w:rPr>
        <w:t xml:space="preserve">  Considering how SRS carrier switching timing and SRS transmission using available slot timing are specified, we made the following observation: </w:t>
      </w:r>
    </w:p>
    <w:p w14:paraId="317DC5A5" w14:textId="77777777" w:rsidR="0065400C" w:rsidRDefault="0065400C" w:rsidP="00D635D5">
      <w:pPr>
        <w:pStyle w:val="ListBullet"/>
        <w:numPr>
          <w:ilvl w:val="0"/>
          <w:numId w:val="0"/>
        </w:numPr>
        <w:spacing w:after="0"/>
        <w:jc w:val="left"/>
        <w:rPr>
          <w:u w:val="single"/>
          <w:lang w:val="en-GB"/>
        </w:rPr>
      </w:pPr>
    </w:p>
    <w:p w14:paraId="752D256D" w14:textId="7B08ECA5" w:rsidR="006C2F1E" w:rsidRPr="00B37649" w:rsidRDefault="006C2F1E" w:rsidP="00D635D5">
      <w:pPr>
        <w:pStyle w:val="ListBullet"/>
        <w:numPr>
          <w:ilvl w:val="0"/>
          <w:numId w:val="0"/>
        </w:numPr>
        <w:spacing w:after="0"/>
        <w:jc w:val="left"/>
        <w:rPr>
          <w:u w:val="single"/>
          <w:lang w:val="en-GB"/>
        </w:rPr>
      </w:pPr>
      <w:r w:rsidRPr="00B37649">
        <w:rPr>
          <w:u w:val="single"/>
          <w:lang w:val="en-GB"/>
        </w:rPr>
        <w:t xml:space="preserve">Observation </w:t>
      </w:r>
      <w:r w:rsidR="00355539">
        <w:rPr>
          <w:u w:val="single"/>
          <w:lang w:val="en-GB"/>
        </w:rPr>
        <w:t>2.3</w:t>
      </w:r>
      <w:r w:rsidRPr="00B37649">
        <w:rPr>
          <w:u w:val="single"/>
          <w:lang w:val="en-GB"/>
        </w:rPr>
        <w:t>:</w:t>
      </w:r>
    </w:p>
    <w:p w14:paraId="199BD2AC" w14:textId="30152C0D" w:rsidR="006C2F1E" w:rsidRDefault="006C2F1E" w:rsidP="00996D64">
      <w:pPr>
        <w:pStyle w:val="BodyText"/>
        <w:numPr>
          <w:ilvl w:val="0"/>
          <w:numId w:val="29"/>
        </w:numPr>
        <w:rPr>
          <w:lang w:val="en-GB"/>
        </w:rPr>
      </w:pPr>
      <w:r>
        <w:rPr>
          <w:lang w:val="en-GB"/>
        </w:rPr>
        <w:t xml:space="preserve">SRS carrier switching timing as specified in 38.214 section 6.2.1.3 does not use the parameter </w:t>
      </w:r>
      <w:proofErr w:type="spellStart"/>
      <w:r w:rsidRPr="00907E5A">
        <w:rPr>
          <w:i/>
          <w:iCs/>
          <w:lang w:val="en-GB"/>
        </w:rPr>
        <w:t>AvailableSlotOffset</w:t>
      </w:r>
      <w:proofErr w:type="spellEnd"/>
      <w:r>
        <w:rPr>
          <w:lang w:val="en-GB"/>
        </w:rPr>
        <w:t>, and so does not appear to support Rel-17 SRS transmission using available slots.</w:t>
      </w:r>
    </w:p>
    <w:p w14:paraId="0FD4BDD7" w14:textId="77777777" w:rsidR="00B37649" w:rsidRDefault="00B37649" w:rsidP="006C2F1E">
      <w:pPr>
        <w:rPr>
          <w:b/>
          <w:bCs/>
          <w:u w:val="single"/>
        </w:rPr>
      </w:pPr>
    </w:p>
    <w:p w14:paraId="0F228E69" w14:textId="7B33DDE6" w:rsidR="006C2F1E" w:rsidRPr="00B37649" w:rsidRDefault="00B37649" w:rsidP="006C2F1E">
      <w:pPr>
        <w:rPr>
          <w:b/>
          <w:bCs/>
          <w:u w:val="single"/>
        </w:rPr>
      </w:pPr>
      <w:r w:rsidRPr="00B37649">
        <w:rPr>
          <w:b/>
          <w:bCs/>
          <w:u w:val="single"/>
        </w:rPr>
        <w:t>Regarding corrections for DCI 2_3 based power control and SRS carrier switching operation:</w:t>
      </w:r>
    </w:p>
    <w:p w14:paraId="659C63C3" w14:textId="67B4EDE2" w:rsidR="006C2F1E" w:rsidRDefault="006C2F1E" w:rsidP="006C2F1E">
      <w:r>
        <w:t>While in our view text proposal 2.</w:t>
      </w:r>
      <w:r w:rsidR="00907E5A">
        <w:t>4</w:t>
      </w:r>
      <w:r>
        <w:t xml:space="preserve"> is needed given the inconsistent identification of optional parameters in 38.213 power control, there was not much support for it from other companies in RAN1#114 or in RAN1#114bis.  However, if support for DCI 1_1 and 1_2 with SRS carrier switching is clearly given elsewhere in specifications, </w:t>
      </w:r>
      <w:proofErr w:type="gramStart"/>
      <w:r>
        <w:t>in particular in</w:t>
      </w:r>
      <w:proofErr w:type="gramEnd"/>
      <w:r>
        <w:t xml:space="preserve"> 38.214 section 6.2.1.3 as proposed above, there is less risk of assuming that DCI 2_3 based power control is required for SRS carrier switching. </w:t>
      </w:r>
    </w:p>
    <w:p w14:paraId="3BAC1CCA" w14:textId="4664B7CD" w:rsidR="006C2F1E" w:rsidRPr="00E17A7E" w:rsidRDefault="006C2F1E" w:rsidP="006C2F1E">
      <w:pPr>
        <w:spacing w:after="0" w:line="240" w:lineRule="auto"/>
        <w:rPr>
          <w:rFonts w:cs="Arial"/>
          <w:szCs w:val="20"/>
          <w:u w:val="single"/>
          <w:lang w:val="en-GB" w:eastAsia="ja-JP"/>
        </w:rPr>
      </w:pPr>
      <w:r w:rsidRPr="00E17A7E">
        <w:rPr>
          <w:rFonts w:cs="Arial"/>
          <w:szCs w:val="20"/>
          <w:u w:val="single"/>
          <w:lang w:val="en-GB" w:eastAsia="ja-JP"/>
        </w:rPr>
        <w:t xml:space="preserve">Proposal </w:t>
      </w:r>
      <w:r w:rsidR="00355539">
        <w:rPr>
          <w:rFonts w:cs="Arial"/>
          <w:szCs w:val="20"/>
          <w:u w:val="single"/>
          <w:lang w:val="en-GB" w:eastAsia="ja-JP"/>
        </w:rPr>
        <w:t>2.4</w:t>
      </w:r>
      <w:r w:rsidRPr="00E17A7E">
        <w:rPr>
          <w:rFonts w:cs="Arial"/>
          <w:szCs w:val="20"/>
          <w:u w:val="single"/>
          <w:lang w:val="en-GB" w:eastAsia="ja-JP"/>
        </w:rPr>
        <w:t>:</w:t>
      </w:r>
    </w:p>
    <w:p w14:paraId="54D9345E" w14:textId="77777777" w:rsidR="006C2F1E" w:rsidRPr="00FA1F2D" w:rsidRDefault="006C2F1E" w:rsidP="006C2F1E">
      <w:pPr>
        <w:pStyle w:val="ListParagraph"/>
        <w:numPr>
          <w:ilvl w:val="0"/>
          <w:numId w:val="29"/>
        </w:numPr>
        <w:rPr>
          <w:lang w:val="en-GB"/>
        </w:rPr>
      </w:pPr>
      <w:r w:rsidRPr="00FA1F2D">
        <w:rPr>
          <w:rFonts w:ascii="Arial" w:hAnsi="Arial" w:cs="Arial"/>
          <w:sz w:val="20"/>
          <w:szCs w:val="20"/>
        </w:rPr>
        <w:t xml:space="preserve">Revisit the need to correct 38.213 section 7.3.1 for the optional use of DCI 2_3 based power control if corrections to SRS configurations and which </w:t>
      </w:r>
      <w:proofErr w:type="spellStart"/>
      <w:r w:rsidRPr="00FA1F2D">
        <w:rPr>
          <w:rFonts w:ascii="Arial" w:hAnsi="Arial" w:cs="Arial"/>
          <w:sz w:val="20"/>
          <w:szCs w:val="20"/>
        </w:rPr>
        <w:t>cells</w:t>
      </w:r>
      <w:proofErr w:type="spellEnd"/>
      <w:r w:rsidRPr="00FA1F2D">
        <w:rPr>
          <w:rFonts w:ascii="Arial" w:hAnsi="Arial" w:cs="Arial"/>
          <w:sz w:val="20"/>
          <w:szCs w:val="20"/>
        </w:rPr>
        <w:t xml:space="preserve"> the SRS is transmitted on are not made in 38.214 section 6.2.1.3.</w:t>
      </w:r>
    </w:p>
    <w:p w14:paraId="71D79D99" w14:textId="77777777" w:rsidR="00F507D1" w:rsidRPr="00CE0424" w:rsidRDefault="00F507D1" w:rsidP="00CE0424">
      <w:pPr>
        <w:pStyle w:val="Heading1"/>
      </w:pPr>
      <w:bookmarkStart w:id="4" w:name="_In-sequence_SDU_delivery"/>
      <w:bookmarkEnd w:id="4"/>
      <w:r w:rsidRPr="00CE0424">
        <w:t>References</w:t>
      </w:r>
    </w:p>
    <w:p w14:paraId="6E059DB2" w14:textId="70124F96" w:rsidR="00B83F51" w:rsidRDefault="00B83F51" w:rsidP="00B83F51">
      <w:pPr>
        <w:pStyle w:val="Reference"/>
      </w:pPr>
      <w:bookmarkStart w:id="5" w:name="_Ref142664398"/>
      <w:bookmarkStart w:id="6" w:name="_Ref174151459"/>
      <w:bookmarkStart w:id="7" w:name="_Ref189809556"/>
      <w:r w:rsidRPr="00B83F51">
        <w:t>Ericsson</w:t>
      </w:r>
      <w:r w:rsidR="008F699A">
        <w:t>, T-Mobile USA</w:t>
      </w:r>
      <w:r w:rsidRPr="00B83F51">
        <w:t>, “</w:t>
      </w:r>
      <w:r w:rsidR="008F699A">
        <w:t>R1-</w:t>
      </w:r>
      <w:r w:rsidR="00A850BB" w:rsidRPr="00A850BB">
        <w:t>2308180</w:t>
      </w:r>
      <w:r w:rsidRPr="00B83F51">
        <w:t xml:space="preserve">, </w:t>
      </w:r>
      <w:r w:rsidR="00A850BB" w:rsidRPr="00A850BB">
        <w:t>Aperiodic triggering support for SRS carrier switching</w:t>
      </w:r>
      <w:r w:rsidRPr="00B83F51">
        <w:t>”, 3GPP TSG RAN</w:t>
      </w:r>
      <w:r>
        <w:t>1</w:t>
      </w:r>
      <w:r w:rsidRPr="00B83F51">
        <w:t>#1</w:t>
      </w:r>
      <w:r>
        <w:t>14</w:t>
      </w:r>
      <w:r w:rsidRPr="00B83F51">
        <w:t xml:space="preserve">, Toulouse, France, 21 - 25 </w:t>
      </w:r>
      <w:proofErr w:type="gramStart"/>
      <w:r w:rsidRPr="00B83F51">
        <w:t>August,</w:t>
      </w:r>
      <w:proofErr w:type="gramEnd"/>
      <w:r w:rsidRPr="00B83F51">
        <w:t xml:space="preserve"> 2023.</w:t>
      </w:r>
      <w:bookmarkEnd w:id="5"/>
    </w:p>
    <w:p w14:paraId="71EFF93D" w14:textId="28D12772" w:rsidR="00A850BB" w:rsidRPr="00B83F51" w:rsidRDefault="0071788A" w:rsidP="00B83F51">
      <w:pPr>
        <w:pStyle w:val="Reference"/>
      </w:pPr>
      <w:bookmarkStart w:id="8" w:name="_Ref146564676"/>
      <w:proofErr w:type="gramStart"/>
      <w:r>
        <w:t>Moderator(</w:t>
      </w:r>
      <w:proofErr w:type="gramEnd"/>
      <w:r w:rsidR="00A850BB" w:rsidRPr="00B83F51">
        <w:t>Ericsson</w:t>
      </w:r>
      <w:r>
        <w:t>)</w:t>
      </w:r>
      <w:r w:rsidR="00A850BB" w:rsidRPr="00B83F51">
        <w:t>, “</w:t>
      </w:r>
      <w:r w:rsidR="008F699A">
        <w:t>R1-</w:t>
      </w:r>
      <w:r w:rsidR="006C2C26" w:rsidRPr="006C2C26">
        <w:t>2310680</w:t>
      </w:r>
      <w:r w:rsidR="00A850BB" w:rsidRPr="00B83F51">
        <w:t xml:space="preserve">, </w:t>
      </w:r>
      <w:r w:rsidR="006C2C26" w:rsidRPr="006C2C26">
        <w:t>Summary #3 of NR Rel-15/16 maintenance discussion for aperiodic triggering support for SRS carrier switching</w:t>
      </w:r>
      <w:r w:rsidR="00A850BB" w:rsidRPr="00B83F51">
        <w:t xml:space="preserve">”, 3GPP TSG </w:t>
      </w:r>
      <w:r w:rsidR="00583EAF" w:rsidRPr="00583EAF">
        <w:t>RAN1#115, Chicago, USA, November 13th – November 17th, 2023</w:t>
      </w:r>
      <w:r w:rsidR="00A850BB" w:rsidRPr="00B83F51">
        <w:t>.</w:t>
      </w:r>
      <w:bookmarkEnd w:id="8"/>
    </w:p>
    <w:p w14:paraId="3A77A44E" w14:textId="55B32148" w:rsidR="00A850BB" w:rsidRPr="00CE0424" w:rsidRDefault="00B83F51" w:rsidP="003F1696">
      <w:pPr>
        <w:pStyle w:val="Reference"/>
      </w:pPr>
      <w:bookmarkStart w:id="9" w:name="_Ref146564714"/>
      <w:r w:rsidRPr="00583EAF">
        <w:t xml:space="preserve">Ericsson, </w:t>
      </w:r>
      <w:r w:rsidR="00583EAF" w:rsidRPr="00583EAF">
        <w:t xml:space="preserve">T-Mobile USA, </w:t>
      </w:r>
      <w:r w:rsidRPr="00583EAF">
        <w:t>“</w:t>
      </w:r>
      <w:r w:rsidR="00583EAF" w:rsidRPr="00583EAF">
        <w:t>R1-2310929</w:t>
      </w:r>
      <w:r w:rsidRPr="00583EAF">
        <w:t xml:space="preserve">, </w:t>
      </w:r>
      <w:r w:rsidR="00A850BB" w:rsidRPr="00583EAF">
        <w:t>Correction for SRS carrier switching for DCI formats 1_1 and 1_2</w:t>
      </w:r>
      <w:r w:rsidRPr="00583EAF">
        <w:t>”, 3GPP TSG RAN1#11</w:t>
      </w:r>
      <w:r w:rsidR="00583EAF" w:rsidRPr="00583EAF">
        <w:t>5</w:t>
      </w:r>
      <w:r w:rsidRPr="00583EAF">
        <w:t xml:space="preserve">, </w:t>
      </w:r>
      <w:bookmarkEnd w:id="6"/>
      <w:bookmarkEnd w:id="7"/>
      <w:bookmarkEnd w:id="9"/>
      <w:r w:rsidR="00583EAF" w:rsidRPr="00583EAF">
        <w:t>Chicago, USA, November 13th – November 17th, 2023.</w:t>
      </w:r>
    </w:p>
    <w:sectPr w:rsidR="00A850BB" w:rsidRPr="00CE0424"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66E44" w14:textId="77777777" w:rsidR="007E7FAC" w:rsidRDefault="007E7FAC">
      <w:r>
        <w:separator/>
      </w:r>
    </w:p>
  </w:endnote>
  <w:endnote w:type="continuationSeparator" w:id="0">
    <w:p w14:paraId="4D7844B0" w14:textId="77777777" w:rsidR="007E7FAC" w:rsidRDefault="007E7FAC">
      <w:r>
        <w:continuationSeparator/>
      </w:r>
    </w:p>
  </w:endnote>
  <w:endnote w:type="continuationNotice" w:id="1">
    <w:p w14:paraId="2675E677" w14:textId="77777777" w:rsidR="007E7FAC" w:rsidRDefault="007E7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CC715" w14:textId="77777777" w:rsidR="007E7FAC" w:rsidRDefault="007E7FAC">
      <w:r>
        <w:separator/>
      </w:r>
    </w:p>
  </w:footnote>
  <w:footnote w:type="continuationSeparator" w:id="0">
    <w:p w14:paraId="1D0D13DA" w14:textId="77777777" w:rsidR="007E7FAC" w:rsidRDefault="007E7FAC">
      <w:r>
        <w:continuationSeparator/>
      </w:r>
    </w:p>
  </w:footnote>
  <w:footnote w:type="continuationNotice" w:id="1">
    <w:p w14:paraId="5B1CDAEE" w14:textId="77777777" w:rsidR="007E7FAC" w:rsidRDefault="007E7F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756B1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486EE8"/>
    <w:multiLevelType w:val="hybridMultilevel"/>
    <w:tmpl w:val="3E966C3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2D419AD"/>
    <w:multiLevelType w:val="hybridMultilevel"/>
    <w:tmpl w:val="525A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B76F2"/>
    <w:multiLevelType w:val="hybridMultilevel"/>
    <w:tmpl w:val="EDF2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187545">
    <w:abstractNumId w:val="4"/>
  </w:num>
  <w:num w:numId="2" w16cid:durableId="1609775619">
    <w:abstractNumId w:val="21"/>
  </w:num>
  <w:num w:numId="3" w16cid:durableId="833373595">
    <w:abstractNumId w:val="15"/>
  </w:num>
  <w:num w:numId="4" w16cid:durableId="2136631286">
    <w:abstractNumId w:val="16"/>
  </w:num>
  <w:num w:numId="5" w16cid:durableId="1923372078">
    <w:abstractNumId w:val="12"/>
  </w:num>
  <w:num w:numId="6" w16cid:durableId="1835074303">
    <w:abstractNumId w:val="19"/>
  </w:num>
  <w:num w:numId="7" w16cid:durableId="1395934195">
    <w:abstractNumId w:val="25"/>
  </w:num>
  <w:num w:numId="8" w16cid:durableId="1467620983">
    <w:abstractNumId w:val="13"/>
  </w:num>
  <w:num w:numId="9" w16cid:durableId="1421946636">
    <w:abstractNumId w:val="10"/>
  </w:num>
  <w:num w:numId="10" w16cid:durableId="639920608">
    <w:abstractNumId w:val="2"/>
  </w:num>
  <w:num w:numId="11" w16cid:durableId="811676846">
    <w:abstractNumId w:val="1"/>
  </w:num>
  <w:num w:numId="12" w16cid:durableId="447622583">
    <w:abstractNumId w:val="0"/>
  </w:num>
  <w:num w:numId="13" w16cid:durableId="1459760247">
    <w:abstractNumId w:val="22"/>
  </w:num>
  <w:num w:numId="14" w16cid:durableId="1270309174">
    <w:abstractNumId w:val="23"/>
  </w:num>
  <w:num w:numId="15" w16cid:durableId="1759251207">
    <w:abstractNumId w:val="17"/>
  </w:num>
  <w:num w:numId="16" w16cid:durableId="1315530660">
    <w:abstractNumId w:val="26"/>
  </w:num>
  <w:num w:numId="17" w16cid:durableId="82536163">
    <w:abstractNumId w:val="8"/>
  </w:num>
  <w:num w:numId="18" w16cid:durableId="1225288575">
    <w:abstractNumId w:val="9"/>
  </w:num>
  <w:num w:numId="19" w16cid:durableId="718633400">
    <w:abstractNumId w:val="6"/>
  </w:num>
  <w:num w:numId="20" w16cid:durableId="1965890076">
    <w:abstractNumId w:val="31"/>
  </w:num>
  <w:num w:numId="21" w16cid:durableId="639304901">
    <w:abstractNumId w:val="14"/>
  </w:num>
  <w:num w:numId="22" w16cid:durableId="674188809">
    <w:abstractNumId w:val="29"/>
  </w:num>
  <w:num w:numId="23" w16cid:durableId="1655404942">
    <w:abstractNumId w:val="18"/>
  </w:num>
  <w:num w:numId="24" w16cid:durableId="215095186">
    <w:abstractNumId w:val="20"/>
  </w:num>
  <w:num w:numId="25" w16cid:durableId="1193617682">
    <w:abstractNumId w:val="24"/>
  </w:num>
  <w:num w:numId="26" w16cid:durableId="907769006">
    <w:abstractNumId w:val="7"/>
  </w:num>
  <w:num w:numId="27" w16cid:durableId="212469335">
    <w:abstractNumId w:val="27"/>
  </w:num>
  <w:num w:numId="28" w16cid:durableId="1062948184">
    <w:abstractNumId w:val="30"/>
  </w:num>
  <w:num w:numId="29" w16cid:durableId="2033410651">
    <w:abstractNumId w:val="32"/>
  </w:num>
  <w:num w:numId="30" w16cid:durableId="1767455117">
    <w:abstractNumId w:val="3"/>
  </w:num>
  <w:num w:numId="31" w16cid:durableId="355233499">
    <w:abstractNumId w:val="11"/>
  </w:num>
  <w:num w:numId="32" w16cid:durableId="553010099">
    <w:abstractNumId w:val="28"/>
  </w:num>
  <w:num w:numId="33" w16cid:durableId="19938255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C67"/>
    <w:rsid w:val="00025ECA"/>
    <w:rsid w:val="000325B8"/>
    <w:rsid w:val="00034C15"/>
    <w:rsid w:val="00036BA1"/>
    <w:rsid w:val="0003771D"/>
    <w:rsid w:val="000409EB"/>
    <w:rsid w:val="000422E2"/>
    <w:rsid w:val="00042F22"/>
    <w:rsid w:val="000444EF"/>
    <w:rsid w:val="00046CE0"/>
    <w:rsid w:val="00052A07"/>
    <w:rsid w:val="000534E3"/>
    <w:rsid w:val="000539E3"/>
    <w:rsid w:val="000549DA"/>
    <w:rsid w:val="0005606A"/>
    <w:rsid w:val="00057117"/>
    <w:rsid w:val="000616E7"/>
    <w:rsid w:val="000626AB"/>
    <w:rsid w:val="0006487E"/>
    <w:rsid w:val="0006550C"/>
    <w:rsid w:val="00065E1A"/>
    <w:rsid w:val="0007266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BF0"/>
    <w:rsid w:val="000B2719"/>
    <w:rsid w:val="000B3A8F"/>
    <w:rsid w:val="000B4AB9"/>
    <w:rsid w:val="000B58C3"/>
    <w:rsid w:val="000B61E9"/>
    <w:rsid w:val="000C165A"/>
    <w:rsid w:val="000C2E19"/>
    <w:rsid w:val="000D0D07"/>
    <w:rsid w:val="000D0E4E"/>
    <w:rsid w:val="000D4797"/>
    <w:rsid w:val="000E0527"/>
    <w:rsid w:val="000E1E92"/>
    <w:rsid w:val="000F06D6"/>
    <w:rsid w:val="000F0EB1"/>
    <w:rsid w:val="000F1106"/>
    <w:rsid w:val="000F3BE9"/>
    <w:rsid w:val="000F3F6C"/>
    <w:rsid w:val="000F6DF3"/>
    <w:rsid w:val="000F72B8"/>
    <w:rsid w:val="001005FF"/>
    <w:rsid w:val="001050D2"/>
    <w:rsid w:val="001062FB"/>
    <w:rsid w:val="001063E6"/>
    <w:rsid w:val="00113CF4"/>
    <w:rsid w:val="0011458F"/>
    <w:rsid w:val="001153EA"/>
    <w:rsid w:val="00115643"/>
    <w:rsid w:val="00116765"/>
    <w:rsid w:val="001219F5"/>
    <w:rsid w:val="00121A20"/>
    <w:rsid w:val="0012377F"/>
    <w:rsid w:val="00124314"/>
    <w:rsid w:val="001266C9"/>
    <w:rsid w:val="00126B4A"/>
    <w:rsid w:val="00131694"/>
    <w:rsid w:val="00131EFF"/>
    <w:rsid w:val="00132FD0"/>
    <w:rsid w:val="0013410F"/>
    <w:rsid w:val="001344C0"/>
    <w:rsid w:val="001346FA"/>
    <w:rsid w:val="0013477C"/>
    <w:rsid w:val="00135252"/>
    <w:rsid w:val="001377CD"/>
    <w:rsid w:val="00137AB5"/>
    <w:rsid w:val="00137F0B"/>
    <w:rsid w:val="00147B33"/>
    <w:rsid w:val="00151E23"/>
    <w:rsid w:val="001526E0"/>
    <w:rsid w:val="001551B5"/>
    <w:rsid w:val="00156561"/>
    <w:rsid w:val="001659C1"/>
    <w:rsid w:val="00173A8E"/>
    <w:rsid w:val="0017502C"/>
    <w:rsid w:val="0018143F"/>
    <w:rsid w:val="00181FF8"/>
    <w:rsid w:val="00185CA8"/>
    <w:rsid w:val="00187944"/>
    <w:rsid w:val="00190AC1"/>
    <w:rsid w:val="0019341A"/>
    <w:rsid w:val="00194299"/>
    <w:rsid w:val="00197DF9"/>
    <w:rsid w:val="001A1987"/>
    <w:rsid w:val="001A2564"/>
    <w:rsid w:val="001A6173"/>
    <w:rsid w:val="001A6CBA"/>
    <w:rsid w:val="001B0939"/>
    <w:rsid w:val="001B0D97"/>
    <w:rsid w:val="001B5A5D"/>
    <w:rsid w:val="001C1CE5"/>
    <w:rsid w:val="001C3D2A"/>
    <w:rsid w:val="001D1228"/>
    <w:rsid w:val="001D320A"/>
    <w:rsid w:val="001D3C07"/>
    <w:rsid w:val="001D3FE8"/>
    <w:rsid w:val="001D51BA"/>
    <w:rsid w:val="001D53E7"/>
    <w:rsid w:val="001D6342"/>
    <w:rsid w:val="001D6B0D"/>
    <w:rsid w:val="001D6D53"/>
    <w:rsid w:val="001E39E1"/>
    <w:rsid w:val="001E58E2"/>
    <w:rsid w:val="001E6FA6"/>
    <w:rsid w:val="001E7AED"/>
    <w:rsid w:val="001F3916"/>
    <w:rsid w:val="001F5287"/>
    <w:rsid w:val="001F54C5"/>
    <w:rsid w:val="001F58E8"/>
    <w:rsid w:val="001F662C"/>
    <w:rsid w:val="001F7074"/>
    <w:rsid w:val="00200490"/>
    <w:rsid w:val="00201F3A"/>
    <w:rsid w:val="00203818"/>
    <w:rsid w:val="00203F96"/>
    <w:rsid w:val="002069B2"/>
    <w:rsid w:val="00207FA3"/>
    <w:rsid w:val="00214DA8"/>
    <w:rsid w:val="00215423"/>
    <w:rsid w:val="002158FA"/>
    <w:rsid w:val="00215912"/>
    <w:rsid w:val="00220600"/>
    <w:rsid w:val="002224DB"/>
    <w:rsid w:val="00223FCB"/>
    <w:rsid w:val="002242B2"/>
    <w:rsid w:val="002252C3"/>
    <w:rsid w:val="0022577C"/>
    <w:rsid w:val="00225C54"/>
    <w:rsid w:val="00230765"/>
    <w:rsid w:val="00230D18"/>
    <w:rsid w:val="002319E4"/>
    <w:rsid w:val="00233766"/>
    <w:rsid w:val="00235632"/>
    <w:rsid w:val="00235872"/>
    <w:rsid w:val="00241559"/>
    <w:rsid w:val="002435B3"/>
    <w:rsid w:val="002458EB"/>
    <w:rsid w:val="002500C8"/>
    <w:rsid w:val="00257494"/>
    <w:rsid w:val="00257543"/>
    <w:rsid w:val="002617E7"/>
    <w:rsid w:val="00264228"/>
    <w:rsid w:val="00264334"/>
    <w:rsid w:val="0026473E"/>
    <w:rsid w:val="00266214"/>
    <w:rsid w:val="00267C83"/>
    <w:rsid w:val="00267CB1"/>
    <w:rsid w:val="0027144F"/>
    <w:rsid w:val="00271813"/>
    <w:rsid w:val="00271F3A"/>
    <w:rsid w:val="00272FDD"/>
    <w:rsid w:val="00273278"/>
    <w:rsid w:val="002737F4"/>
    <w:rsid w:val="002751FE"/>
    <w:rsid w:val="002805F5"/>
    <w:rsid w:val="00280751"/>
    <w:rsid w:val="0028280A"/>
    <w:rsid w:val="00285302"/>
    <w:rsid w:val="00286ACD"/>
    <w:rsid w:val="00287838"/>
    <w:rsid w:val="002907B5"/>
    <w:rsid w:val="00292EB7"/>
    <w:rsid w:val="00296227"/>
    <w:rsid w:val="00296F44"/>
    <w:rsid w:val="0029777D"/>
    <w:rsid w:val="002A055E"/>
    <w:rsid w:val="002A1D4E"/>
    <w:rsid w:val="002A2869"/>
    <w:rsid w:val="002A578E"/>
    <w:rsid w:val="002A7622"/>
    <w:rsid w:val="002B24D6"/>
    <w:rsid w:val="002B470B"/>
    <w:rsid w:val="002B4A0A"/>
    <w:rsid w:val="002C16CC"/>
    <w:rsid w:val="002C41E6"/>
    <w:rsid w:val="002C66D6"/>
    <w:rsid w:val="002D071A"/>
    <w:rsid w:val="002D34B2"/>
    <w:rsid w:val="002D48B0"/>
    <w:rsid w:val="002D5B37"/>
    <w:rsid w:val="002D7637"/>
    <w:rsid w:val="002E17F2"/>
    <w:rsid w:val="002E5057"/>
    <w:rsid w:val="002E7CAE"/>
    <w:rsid w:val="002F13E4"/>
    <w:rsid w:val="002F1510"/>
    <w:rsid w:val="002F1CCD"/>
    <w:rsid w:val="002F2771"/>
    <w:rsid w:val="002F37A9"/>
    <w:rsid w:val="00301CE6"/>
    <w:rsid w:val="0030256B"/>
    <w:rsid w:val="0030501F"/>
    <w:rsid w:val="00306E6F"/>
    <w:rsid w:val="00307BA1"/>
    <w:rsid w:val="00311702"/>
    <w:rsid w:val="00311E82"/>
    <w:rsid w:val="00313230"/>
    <w:rsid w:val="00313FD6"/>
    <w:rsid w:val="003143BD"/>
    <w:rsid w:val="00315363"/>
    <w:rsid w:val="00317571"/>
    <w:rsid w:val="00317753"/>
    <w:rsid w:val="003203ED"/>
    <w:rsid w:val="00322C9F"/>
    <w:rsid w:val="00324D23"/>
    <w:rsid w:val="0032612D"/>
    <w:rsid w:val="00330611"/>
    <w:rsid w:val="00331751"/>
    <w:rsid w:val="00334579"/>
    <w:rsid w:val="00335858"/>
    <w:rsid w:val="00336BDA"/>
    <w:rsid w:val="00342BD7"/>
    <w:rsid w:val="00346DB5"/>
    <w:rsid w:val="003477B1"/>
    <w:rsid w:val="00351F32"/>
    <w:rsid w:val="00355539"/>
    <w:rsid w:val="00357380"/>
    <w:rsid w:val="003602D9"/>
    <w:rsid w:val="003604CE"/>
    <w:rsid w:val="00361CF8"/>
    <w:rsid w:val="0036601E"/>
    <w:rsid w:val="00370A5A"/>
    <w:rsid w:val="00370E47"/>
    <w:rsid w:val="003742AC"/>
    <w:rsid w:val="00377CE1"/>
    <w:rsid w:val="00383BC1"/>
    <w:rsid w:val="00385BF0"/>
    <w:rsid w:val="00392DB6"/>
    <w:rsid w:val="003939FF"/>
    <w:rsid w:val="003A20E1"/>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5F9"/>
    <w:rsid w:val="003C7806"/>
    <w:rsid w:val="003D0664"/>
    <w:rsid w:val="003D109F"/>
    <w:rsid w:val="003D2478"/>
    <w:rsid w:val="003D3C45"/>
    <w:rsid w:val="003D470B"/>
    <w:rsid w:val="003D50F0"/>
    <w:rsid w:val="003D5B1F"/>
    <w:rsid w:val="003D5EC9"/>
    <w:rsid w:val="003E109E"/>
    <w:rsid w:val="003E15FA"/>
    <w:rsid w:val="003E4B40"/>
    <w:rsid w:val="003E55E4"/>
    <w:rsid w:val="003E74E3"/>
    <w:rsid w:val="003F05C7"/>
    <w:rsid w:val="003F1065"/>
    <w:rsid w:val="003F1696"/>
    <w:rsid w:val="003F2CD4"/>
    <w:rsid w:val="003F6BBE"/>
    <w:rsid w:val="003F6BE1"/>
    <w:rsid w:val="004000E8"/>
    <w:rsid w:val="00401520"/>
    <w:rsid w:val="004016C2"/>
    <w:rsid w:val="00402E2B"/>
    <w:rsid w:val="0040512B"/>
    <w:rsid w:val="00405CA5"/>
    <w:rsid w:val="00407879"/>
    <w:rsid w:val="00407CD3"/>
    <w:rsid w:val="00410134"/>
    <w:rsid w:val="00410B72"/>
    <w:rsid w:val="00410F18"/>
    <w:rsid w:val="0041263E"/>
    <w:rsid w:val="004139CD"/>
    <w:rsid w:val="00413AAC"/>
    <w:rsid w:val="00413E92"/>
    <w:rsid w:val="00416738"/>
    <w:rsid w:val="00417C44"/>
    <w:rsid w:val="00421105"/>
    <w:rsid w:val="00422AA4"/>
    <w:rsid w:val="004242F4"/>
    <w:rsid w:val="004269DF"/>
    <w:rsid w:val="00427248"/>
    <w:rsid w:val="00437447"/>
    <w:rsid w:val="00441A92"/>
    <w:rsid w:val="004431DC"/>
    <w:rsid w:val="00444F56"/>
    <w:rsid w:val="00446488"/>
    <w:rsid w:val="0045147A"/>
    <w:rsid w:val="004517AA"/>
    <w:rsid w:val="00452CAC"/>
    <w:rsid w:val="00457565"/>
    <w:rsid w:val="00457B71"/>
    <w:rsid w:val="00464689"/>
    <w:rsid w:val="004669E2"/>
    <w:rsid w:val="00466C38"/>
    <w:rsid w:val="0047030B"/>
    <w:rsid w:val="00470C31"/>
    <w:rsid w:val="0047116E"/>
    <w:rsid w:val="00471DE0"/>
    <w:rsid w:val="004734D0"/>
    <w:rsid w:val="00474A17"/>
    <w:rsid w:val="0047556B"/>
    <w:rsid w:val="004759F0"/>
    <w:rsid w:val="00477768"/>
    <w:rsid w:val="00480CC2"/>
    <w:rsid w:val="00481CC3"/>
    <w:rsid w:val="00483591"/>
    <w:rsid w:val="004875AD"/>
    <w:rsid w:val="00492BC5"/>
    <w:rsid w:val="004964F1"/>
    <w:rsid w:val="004A16BC"/>
    <w:rsid w:val="004A2B94"/>
    <w:rsid w:val="004B32F9"/>
    <w:rsid w:val="004B6F6A"/>
    <w:rsid w:val="004B7C0C"/>
    <w:rsid w:val="004C1EED"/>
    <w:rsid w:val="004C2790"/>
    <w:rsid w:val="004C3898"/>
    <w:rsid w:val="004D1F04"/>
    <w:rsid w:val="004D36B1"/>
    <w:rsid w:val="004D36D4"/>
    <w:rsid w:val="004D4CBE"/>
    <w:rsid w:val="004D7EBD"/>
    <w:rsid w:val="004E2680"/>
    <w:rsid w:val="004E28F9"/>
    <w:rsid w:val="004E462E"/>
    <w:rsid w:val="004E56DC"/>
    <w:rsid w:val="004E76F4"/>
    <w:rsid w:val="004F0B4E"/>
    <w:rsid w:val="004F0B6C"/>
    <w:rsid w:val="004F2078"/>
    <w:rsid w:val="004F4DA3"/>
    <w:rsid w:val="0050019F"/>
    <w:rsid w:val="0050516A"/>
    <w:rsid w:val="00506557"/>
    <w:rsid w:val="0050677A"/>
    <w:rsid w:val="005074D7"/>
    <w:rsid w:val="005108D8"/>
    <w:rsid w:val="005116F9"/>
    <w:rsid w:val="005153A7"/>
    <w:rsid w:val="005219CF"/>
    <w:rsid w:val="00523C6A"/>
    <w:rsid w:val="00525F09"/>
    <w:rsid w:val="005317C1"/>
    <w:rsid w:val="00534B59"/>
    <w:rsid w:val="00536759"/>
    <w:rsid w:val="00537C62"/>
    <w:rsid w:val="00542F6F"/>
    <w:rsid w:val="00546970"/>
    <w:rsid w:val="005478D1"/>
    <w:rsid w:val="00554E19"/>
    <w:rsid w:val="0056112F"/>
    <w:rsid w:val="0056121F"/>
    <w:rsid w:val="00572505"/>
    <w:rsid w:val="00576B54"/>
    <w:rsid w:val="0057722D"/>
    <w:rsid w:val="005823B9"/>
    <w:rsid w:val="00582809"/>
    <w:rsid w:val="00583EAF"/>
    <w:rsid w:val="0058798C"/>
    <w:rsid w:val="005900FA"/>
    <w:rsid w:val="005935A4"/>
    <w:rsid w:val="005948C2"/>
    <w:rsid w:val="00595DCA"/>
    <w:rsid w:val="0059779B"/>
    <w:rsid w:val="005979FF"/>
    <w:rsid w:val="005A0B9B"/>
    <w:rsid w:val="005A209A"/>
    <w:rsid w:val="005A360C"/>
    <w:rsid w:val="005A3CEF"/>
    <w:rsid w:val="005A662D"/>
    <w:rsid w:val="005B1409"/>
    <w:rsid w:val="005B35D7"/>
    <w:rsid w:val="005B392A"/>
    <w:rsid w:val="005B3AA3"/>
    <w:rsid w:val="005B6F83"/>
    <w:rsid w:val="005C74FB"/>
    <w:rsid w:val="005D1602"/>
    <w:rsid w:val="005E27CA"/>
    <w:rsid w:val="005E385F"/>
    <w:rsid w:val="005E5B81"/>
    <w:rsid w:val="005F01C5"/>
    <w:rsid w:val="005F2CB1"/>
    <w:rsid w:val="005F3025"/>
    <w:rsid w:val="005F618C"/>
    <w:rsid w:val="005F70BD"/>
    <w:rsid w:val="0060283C"/>
    <w:rsid w:val="00604F14"/>
    <w:rsid w:val="00611B83"/>
    <w:rsid w:val="00613257"/>
    <w:rsid w:val="00613CC2"/>
    <w:rsid w:val="00620A71"/>
    <w:rsid w:val="00620D80"/>
    <w:rsid w:val="00620FB3"/>
    <w:rsid w:val="0062233D"/>
    <w:rsid w:val="006234A6"/>
    <w:rsid w:val="00623BBA"/>
    <w:rsid w:val="0062448F"/>
    <w:rsid w:val="00630001"/>
    <w:rsid w:val="006311B3"/>
    <w:rsid w:val="0063284C"/>
    <w:rsid w:val="00636398"/>
    <w:rsid w:val="006368D3"/>
    <w:rsid w:val="006377EC"/>
    <w:rsid w:val="0064151F"/>
    <w:rsid w:val="00641533"/>
    <w:rsid w:val="0064208D"/>
    <w:rsid w:val="00643475"/>
    <w:rsid w:val="0064396A"/>
    <w:rsid w:val="0064624E"/>
    <w:rsid w:val="00650AB9"/>
    <w:rsid w:val="0065400C"/>
    <w:rsid w:val="00655733"/>
    <w:rsid w:val="00655ACD"/>
    <w:rsid w:val="00656A92"/>
    <w:rsid w:val="00656DDE"/>
    <w:rsid w:val="0065742C"/>
    <w:rsid w:val="0066011D"/>
    <w:rsid w:val="006607C0"/>
    <w:rsid w:val="006613A6"/>
    <w:rsid w:val="006627A2"/>
    <w:rsid w:val="006627FB"/>
    <w:rsid w:val="006634E6"/>
    <w:rsid w:val="006655EE"/>
    <w:rsid w:val="00667EE7"/>
    <w:rsid w:val="00670922"/>
    <w:rsid w:val="00670BE1"/>
    <w:rsid w:val="0067218F"/>
    <w:rsid w:val="006741F2"/>
    <w:rsid w:val="00674CC3"/>
    <w:rsid w:val="00675C72"/>
    <w:rsid w:val="00675E9D"/>
    <w:rsid w:val="006771F9"/>
    <w:rsid w:val="006776D7"/>
    <w:rsid w:val="00681003"/>
    <w:rsid w:val="006817C9"/>
    <w:rsid w:val="00683ECE"/>
    <w:rsid w:val="00695FC2"/>
    <w:rsid w:val="00696949"/>
    <w:rsid w:val="00697052"/>
    <w:rsid w:val="006A46FB"/>
    <w:rsid w:val="006A5E28"/>
    <w:rsid w:val="006A697B"/>
    <w:rsid w:val="006A7AFF"/>
    <w:rsid w:val="006B0911"/>
    <w:rsid w:val="006B1816"/>
    <w:rsid w:val="006B2099"/>
    <w:rsid w:val="006B316D"/>
    <w:rsid w:val="006B3C8D"/>
    <w:rsid w:val="006B50CF"/>
    <w:rsid w:val="006C03B8"/>
    <w:rsid w:val="006C2C26"/>
    <w:rsid w:val="006C2F1E"/>
    <w:rsid w:val="006C3180"/>
    <w:rsid w:val="006C5EC9"/>
    <w:rsid w:val="006C6059"/>
    <w:rsid w:val="006C7522"/>
    <w:rsid w:val="006D2884"/>
    <w:rsid w:val="006D6F08"/>
    <w:rsid w:val="006E062C"/>
    <w:rsid w:val="006E1C82"/>
    <w:rsid w:val="006E1F0E"/>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1788A"/>
    <w:rsid w:val="00721B32"/>
    <w:rsid w:val="00721DED"/>
    <w:rsid w:val="007245FD"/>
    <w:rsid w:val="007257D0"/>
    <w:rsid w:val="00726EA6"/>
    <w:rsid w:val="00727208"/>
    <w:rsid w:val="00727680"/>
    <w:rsid w:val="007348B1"/>
    <w:rsid w:val="00734DCC"/>
    <w:rsid w:val="007362A6"/>
    <w:rsid w:val="00736D7D"/>
    <w:rsid w:val="00740C71"/>
    <w:rsid w:val="00740E58"/>
    <w:rsid w:val="007445A0"/>
    <w:rsid w:val="0074524B"/>
    <w:rsid w:val="00747D8B"/>
    <w:rsid w:val="00751228"/>
    <w:rsid w:val="007571E1"/>
    <w:rsid w:val="007604B2"/>
    <w:rsid w:val="00763726"/>
    <w:rsid w:val="00765281"/>
    <w:rsid w:val="00766BAD"/>
    <w:rsid w:val="007729A2"/>
    <w:rsid w:val="00773776"/>
    <w:rsid w:val="007747B3"/>
    <w:rsid w:val="007755F2"/>
    <w:rsid w:val="00776971"/>
    <w:rsid w:val="00780A80"/>
    <w:rsid w:val="0078177E"/>
    <w:rsid w:val="0078304C"/>
    <w:rsid w:val="00783673"/>
    <w:rsid w:val="00785490"/>
    <w:rsid w:val="007925EA"/>
    <w:rsid w:val="00793CD8"/>
    <w:rsid w:val="00794552"/>
    <w:rsid w:val="00795160"/>
    <w:rsid w:val="00795C92"/>
    <w:rsid w:val="00796231"/>
    <w:rsid w:val="00797173"/>
    <w:rsid w:val="007A1CB3"/>
    <w:rsid w:val="007A306F"/>
    <w:rsid w:val="007A43A6"/>
    <w:rsid w:val="007A44B6"/>
    <w:rsid w:val="007A456E"/>
    <w:rsid w:val="007A58A6"/>
    <w:rsid w:val="007B0737"/>
    <w:rsid w:val="007B23C8"/>
    <w:rsid w:val="007B3D2D"/>
    <w:rsid w:val="007B50AE"/>
    <w:rsid w:val="007B51DF"/>
    <w:rsid w:val="007C05DD"/>
    <w:rsid w:val="007C3D18"/>
    <w:rsid w:val="007C60BF"/>
    <w:rsid w:val="007C6A07"/>
    <w:rsid w:val="007C75A1"/>
    <w:rsid w:val="007C77A5"/>
    <w:rsid w:val="007D04E5"/>
    <w:rsid w:val="007D1E5B"/>
    <w:rsid w:val="007D5901"/>
    <w:rsid w:val="007D7526"/>
    <w:rsid w:val="007D7BC4"/>
    <w:rsid w:val="007E2CFE"/>
    <w:rsid w:val="007E4610"/>
    <w:rsid w:val="007E4715"/>
    <w:rsid w:val="007E505B"/>
    <w:rsid w:val="007E7091"/>
    <w:rsid w:val="007E7FAC"/>
    <w:rsid w:val="007F05A8"/>
    <w:rsid w:val="0080202B"/>
    <w:rsid w:val="00803FAE"/>
    <w:rsid w:val="008043E8"/>
    <w:rsid w:val="0080605F"/>
    <w:rsid w:val="00807786"/>
    <w:rsid w:val="00811FCB"/>
    <w:rsid w:val="008158D6"/>
    <w:rsid w:val="00817196"/>
    <w:rsid w:val="00821029"/>
    <w:rsid w:val="008224F8"/>
    <w:rsid w:val="008235DB"/>
    <w:rsid w:val="00824AB4"/>
    <w:rsid w:val="00825C42"/>
    <w:rsid w:val="00825D25"/>
    <w:rsid w:val="00827D6F"/>
    <w:rsid w:val="00830AC9"/>
    <w:rsid w:val="008372F4"/>
    <w:rsid w:val="008376AC"/>
    <w:rsid w:val="00841994"/>
    <w:rsid w:val="008444E8"/>
    <w:rsid w:val="00844E80"/>
    <w:rsid w:val="00846FE7"/>
    <w:rsid w:val="00852F57"/>
    <w:rsid w:val="00856911"/>
    <w:rsid w:val="008605CA"/>
    <w:rsid w:val="008677FD"/>
    <w:rsid w:val="00867E1E"/>
    <w:rsid w:val="008706D4"/>
    <w:rsid w:val="00870F8A"/>
    <w:rsid w:val="008719A4"/>
    <w:rsid w:val="00871D23"/>
    <w:rsid w:val="00873F38"/>
    <w:rsid w:val="00874312"/>
    <w:rsid w:val="0087437C"/>
    <w:rsid w:val="00875CD7"/>
    <w:rsid w:val="00876B4D"/>
    <w:rsid w:val="00877F18"/>
    <w:rsid w:val="00893457"/>
    <w:rsid w:val="008941E3"/>
    <w:rsid w:val="00894A88"/>
    <w:rsid w:val="00895386"/>
    <w:rsid w:val="008A21FF"/>
    <w:rsid w:val="008A2CE2"/>
    <w:rsid w:val="008A30AA"/>
    <w:rsid w:val="008A30AC"/>
    <w:rsid w:val="008A44B8"/>
    <w:rsid w:val="008A51A8"/>
    <w:rsid w:val="008A54C7"/>
    <w:rsid w:val="008A77D8"/>
    <w:rsid w:val="008B0483"/>
    <w:rsid w:val="008B120C"/>
    <w:rsid w:val="008B33A7"/>
    <w:rsid w:val="008B51A0"/>
    <w:rsid w:val="008B592A"/>
    <w:rsid w:val="008B7B5C"/>
    <w:rsid w:val="008C0C99"/>
    <w:rsid w:val="008C2017"/>
    <w:rsid w:val="008C4958"/>
    <w:rsid w:val="008C4BAA"/>
    <w:rsid w:val="008C4FB5"/>
    <w:rsid w:val="008C6AE8"/>
    <w:rsid w:val="008C7573"/>
    <w:rsid w:val="008D00A5"/>
    <w:rsid w:val="008D34F1"/>
    <w:rsid w:val="008D39D8"/>
    <w:rsid w:val="008D6D1A"/>
    <w:rsid w:val="008E065E"/>
    <w:rsid w:val="008E0927"/>
    <w:rsid w:val="008E1909"/>
    <w:rsid w:val="008E3522"/>
    <w:rsid w:val="008F1C4E"/>
    <w:rsid w:val="008F1EAB"/>
    <w:rsid w:val="008F33DC"/>
    <w:rsid w:val="008F477F"/>
    <w:rsid w:val="008F699A"/>
    <w:rsid w:val="008F7F90"/>
    <w:rsid w:val="0090139E"/>
    <w:rsid w:val="00902350"/>
    <w:rsid w:val="0090336B"/>
    <w:rsid w:val="00904BE5"/>
    <w:rsid w:val="009053AA"/>
    <w:rsid w:val="00906939"/>
    <w:rsid w:val="00907E5A"/>
    <w:rsid w:val="00910B7D"/>
    <w:rsid w:val="00911174"/>
    <w:rsid w:val="00911DFB"/>
    <w:rsid w:val="009139D9"/>
    <w:rsid w:val="00914AD8"/>
    <w:rsid w:val="00916079"/>
    <w:rsid w:val="00917CE9"/>
    <w:rsid w:val="0092075B"/>
    <w:rsid w:val="00920BF2"/>
    <w:rsid w:val="00922010"/>
    <w:rsid w:val="009246EC"/>
    <w:rsid w:val="00931134"/>
    <w:rsid w:val="00931BD9"/>
    <w:rsid w:val="00934A1F"/>
    <w:rsid w:val="00934FA8"/>
    <w:rsid w:val="009368F3"/>
    <w:rsid w:val="009412A4"/>
    <w:rsid w:val="00941636"/>
    <w:rsid w:val="00943742"/>
    <w:rsid w:val="009457BA"/>
    <w:rsid w:val="00945C05"/>
    <w:rsid w:val="00946945"/>
    <w:rsid w:val="00947713"/>
    <w:rsid w:val="00950DE7"/>
    <w:rsid w:val="00953920"/>
    <w:rsid w:val="00953D47"/>
    <w:rsid w:val="0095681E"/>
    <w:rsid w:val="009572D4"/>
    <w:rsid w:val="009617F7"/>
    <w:rsid w:val="00961921"/>
    <w:rsid w:val="00961F53"/>
    <w:rsid w:val="0096430A"/>
    <w:rsid w:val="0096554B"/>
    <w:rsid w:val="0096584A"/>
    <w:rsid w:val="009706B4"/>
    <w:rsid w:val="00970EAC"/>
    <w:rsid w:val="00971F08"/>
    <w:rsid w:val="0097603D"/>
    <w:rsid w:val="009764A3"/>
    <w:rsid w:val="00976949"/>
    <w:rsid w:val="009802A7"/>
    <w:rsid w:val="00980477"/>
    <w:rsid w:val="0098090A"/>
    <w:rsid w:val="00985253"/>
    <w:rsid w:val="009853B3"/>
    <w:rsid w:val="00990630"/>
    <w:rsid w:val="00991761"/>
    <w:rsid w:val="00992243"/>
    <w:rsid w:val="00992405"/>
    <w:rsid w:val="00994599"/>
    <w:rsid w:val="00994DCA"/>
    <w:rsid w:val="009960EC"/>
    <w:rsid w:val="00996D64"/>
    <w:rsid w:val="009970DD"/>
    <w:rsid w:val="009A0FBA"/>
    <w:rsid w:val="009A1601"/>
    <w:rsid w:val="009A1C1A"/>
    <w:rsid w:val="009A3BB6"/>
    <w:rsid w:val="009A462D"/>
    <w:rsid w:val="009A5CBA"/>
    <w:rsid w:val="009B1F30"/>
    <w:rsid w:val="009B3AC2"/>
    <w:rsid w:val="009B4DF4"/>
    <w:rsid w:val="009B564E"/>
    <w:rsid w:val="009B611F"/>
    <w:rsid w:val="009B7E87"/>
    <w:rsid w:val="009C0169"/>
    <w:rsid w:val="009C403E"/>
    <w:rsid w:val="009D0507"/>
    <w:rsid w:val="009D4FF0"/>
    <w:rsid w:val="009D703C"/>
    <w:rsid w:val="009D718F"/>
    <w:rsid w:val="009E068F"/>
    <w:rsid w:val="009E14E0"/>
    <w:rsid w:val="009E1868"/>
    <w:rsid w:val="009E35DB"/>
    <w:rsid w:val="009E47A3"/>
    <w:rsid w:val="009E55EC"/>
    <w:rsid w:val="009E64B2"/>
    <w:rsid w:val="009F08F3"/>
    <w:rsid w:val="009F344F"/>
    <w:rsid w:val="00A031D8"/>
    <w:rsid w:val="00A048A8"/>
    <w:rsid w:val="00A04F49"/>
    <w:rsid w:val="00A07750"/>
    <w:rsid w:val="00A077F5"/>
    <w:rsid w:val="00A108ED"/>
    <w:rsid w:val="00A13E54"/>
    <w:rsid w:val="00A17F63"/>
    <w:rsid w:val="00A2193B"/>
    <w:rsid w:val="00A2351A"/>
    <w:rsid w:val="00A264A9"/>
    <w:rsid w:val="00A26DCF"/>
    <w:rsid w:val="00A27785"/>
    <w:rsid w:val="00A27F8E"/>
    <w:rsid w:val="00A30187"/>
    <w:rsid w:val="00A322FB"/>
    <w:rsid w:val="00A3448A"/>
    <w:rsid w:val="00A36297"/>
    <w:rsid w:val="00A36B5D"/>
    <w:rsid w:val="00A40A81"/>
    <w:rsid w:val="00A41E2B"/>
    <w:rsid w:val="00A45B74"/>
    <w:rsid w:val="00A52E1D"/>
    <w:rsid w:val="00A54811"/>
    <w:rsid w:val="00A61046"/>
    <w:rsid w:val="00A61499"/>
    <w:rsid w:val="00A62A77"/>
    <w:rsid w:val="00A63483"/>
    <w:rsid w:val="00A64DDD"/>
    <w:rsid w:val="00A657D7"/>
    <w:rsid w:val="00A660AC"/>
    <w:rsid w:val="00A67E6C"/>
    <w:rsid w:val="00A71B99"/>
    <w:rsid w:val="00A739D0"/>
    <w:rsid w:val="00A761D4"/>
    <w:rsid w:val="00A77EC4"/>
    <w:rsid w:val="00A83FA9"/>
    <w:rsid w:val="00A850BB"/>
    <w:rsid w:val="00A911D4"/>
    <w:rsid w:val="00A92879"/>
    <w:rsid w:val="00A9442A"/>
    <w:rsid w:val="00A9752A"/>
    <w:rsid w:val="00AA016F"/>
    <w:rsid w:val="00AA0A71"/>
    <w:rsid w:val="00AA1ED6"/>
    <w:rsid w:val="00AA51D6"/>
    <w:rsid w:val="00AB0BC8"/>
    <w:rsid w:val="00AB11CA"/>
    <w:rsid w:val="00AB14D9"/>
    <w:rsid w:val="00AB4AB8"/>
    <w:rsid w:val="00AB655E"/>
    <w:rsid w:val="00AC007F"/>
    <w:rsid w:val="00AC2ECD"/>
    <w:rsid w:val="00AC3119"/>
    <w:rsid w:val="00AC49FB"/>
    <w:rsid w:val="00AC5A10"/>
    <w:rsid w:val="00AD0AA3"/>
    <w:rsid w:val="00AD11A6"/>
    <w:rsid w:val="00AD1437"/>
    <w:rsid w:val="00AD2ED0"/>
    <w:rsid w:val="00AD3F94"/>
    <w:rsid w:val="00AD4A5A"/>
    <w:rsid w:val="00AE1AF2"/>
    <w:rsid w:val="00AE27AC"/>
    <w:rsid w:val="00AE40E0"/>
    <w:rsid w:val="00AE4DBA"/>
    <w:rsid w:val="00AE4F07"/>
    <w:rsid w:val="00AF0577"/>
    <w:rsid w:val="00AF1C5D"/>
    <w:rsid w:val="00AF42D7"/>
    <w:rsid w:val="00AF6D7F"/>
    <w:rsid w:val="00B006FE"/>
    <w:rsid w:val="00B007CB"/>
    <w:rsid w:val="00B02AA9"/>
    <w:rsid w:val="00B02FA3"/>
    <w:rsid w:val="00B05084"/>
    <w:rsid w:val="00B157F9"/>
    <w:rsid w:val="00B20256"/>
    <w:rsid w:val="00B20882"/>
    <w:rsid w:val="00B20D09"/>
    <w:rsid w:val="00B2757F"/>
    <w:rsid w:val="00B2763F"/>
    <w:rsid w:val="00B27AAC"/>
    <w:rsid w:val="00B27D55"/>
    <w:rsid w:val="00B30929"/>
    <w:rsid w:val="00B372AA"/>
    <w:rsid w:val="00B37649"/>
    <w:rsid w:val="00B378E4"/>
    <w:rsid w:val="00B40445"/>
    <w:rsid w:val="00B409E0"/>
    <w:rsid w:val="00B41770"/>
    <w:rsid w:val="00B41888"/>
    <w:rsid w:val="00B41F28"/>
    <w:rsid w:val="00B45A52"/>
    <w:rsid w:val="00B46175"/>
    <w:rsid w:val="00B4622C"/>
    <w:rsid w:val="00B52587"/>
    <w:rsid w:val="00B548B7"/>
    <w:rsid w:val="00B55FCB"/>
    <w:rsid w:val="00B614B6"/>
    <w:rsid w:val="00B63A01"/>
    <w:rsid w:val="00B664C7"/>
    <w:rsid w:val="00B66722"/>
    <w:rsid w:val="00B713D8"/>
    <w:rsid w:val="00B739F6"/>
    <w:rsid w:val="00B74398"/>
    <w:rsid w:val="00B81A6C"/>
    <w:rsid w:val="00B83F51"/>
    <w:rsid w:val="00B85DE5"/>
    <w:rsid w:val="00B90F73"/>
    <w:rsid w:val="00B93B59"/>
    <w:rsid w:val="00B9406A"/>
    <w:rsid w:val="00B97F2F"/>
    <w:rsid w:val="00BA2280"/>
    <w:rsid w:val="00BA2A08"/>
    <w:rsid w:val="00BA56D2"/>
    <w:rsid w:val="00BA76E0"/>
    <w:rsid w:val="00BB2A25"/>
    <w:rsid w:val="00BB51E9"/>
    <w:rsid w:val="00BB5DB1"/>
    <w:rsid w:val="00BC0FDC"/>
    <w:rsid w:val="00BC3053"/>
    <w:rsid w:val="00BC4D2E"/>
    <w:rsid w:val="00BD48AC"/>
    <w:rsid w:val="00BD5404"/>
    <w:rsid w:val="00BD5F1A"/>
    <w:rsid w:val="00BE1234"/>
    <w:rsid w:val="00BE2FA6"/>
    <w:rsid w:val="00BE333F"/>
    <w:rsid w:val="00BE7406"/>
    <w:rsid w:val="00BE7603"/>
    <w:rsid w:val="00BF3279"/>
    <w:rsid w:val="00BF74C7"/>
    <w:rsid w:val="00C015F1"/>
    <w:rsid w:val="00C01F33"/>
    <w:rsid w:val="00C02CC6"/>
    <w:rsid w:val="00C040F7"/>
    <w:rsid w:val="00C044AB"/>
    <w:rsid w:val="00C04F3E"/>
    <w:rsid w:val="00C05706"/>
    <w:rsid w:val="00C07377"/>
    <w:rsid w:val="00C10478"/>
    <w:rsid w:val="00C12107"/>
    <w:rsid w:val="00C14D4B"/>
    <w:rsid w:val="00C154BB"/>
    <w:rsid w:val="00C220A7"/>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7C14"/>
    <w:rsid w:val="00C81568"/>
    <w:rsid w:val="00C86AC5"/>
    <w:rsid w:val="00C9027A"/>
    <w:rsid w:val="00C9068E"/>
    <w:rsid w:val="00C93814"/>
    <w:rsid w:val="00C93C4B"/>
    <w:rsid w:val="00C944AB"/>
    <w:rsid w:val="00C95B40"/>
    <w:rsid w:val="00CA1ED8"/>
    <w:rsid w:val="00CA5690"/>
    <w:rsid w:val="00CB0EB3"/>
    <w:rsid w:val="00CB1185"/>
    <w:rsid w:val="00CB1F63"/>
    <w:rsid w:val="00CB44D7"/>
    <w:rsid w:val="00CB7170"/>
    <w:rsid w:val="00CC040E"/>
    <w:rsid w:val="00CC111F"/>
    <w:rsid w:val="00CC2011"/>
    <w:rsid w:val="00CC3EA0"/>
    <w:rsid w:val="00CC78E3"/>
    <w:rsid w:val="00CC7B45"/>
    <w:rsid w:val="00CD1188"/>
    <w:rsid w:val="00CD2ED1"/>
    <w:rsid w:val="00CD337B"/>
    <w:rsid w:val="00CD5A12"/>
    <w:rsid w:val="00CE0424"/>
    <w:rsid w:val="00CE7561"/>
    <w:rsid w:val="00CE7A4D"/>
    <w:rsid w:val="00CF1354"/>
    <w:rsid w:val="00CF1FE7"/>
    <w:rsid w:val="00CF3B1F"/>
    <w:rsid w:val="00CF3BF6"/>
    <w:rsid w:val="00CF625B"/>
    <w:rsid w:val="00CF687E"/>
    <w:rsid w:val="00D0349B"/>
    <w:rsid w:val="00D10249"/>
    <w:rsid w:val="00D115C3"/>
    <w:rsid w:val="00D11897"/>
    <w:rsid w:val="00D13135"/>
    <w:rsid w:val="00D13E4E"/>
    <w:rsid w:val="00D239A7"/>
    <w:rsid w:val="00D23F47"/>
    <w:rsid w:val="00D27660"/>
    <w:rsid w:val="00D33184"/>
    <w:rsid w:val="00D36E71"/>
    <w:rsid w:val="00D37D87"/>
    <w:rsid w:val="00D40B33"/>
    <w:rsid w:val="00D4318F"/>
    <w:rsid w:val="00D438BF"/>
    <w:rsid w:val="00D440F8"/>
    <w:rsid w:val="00D546FF"/>
    <w:rsid w:val="00D55AD5"/>
    <w:rsid w:val="00D576CA"/>
    <w:rsid w:val="00D61AF5"/>
    <w:rsid w:val="00D635D5"/>
    <w:rsid w:val="00D652B5"/>
    <w:rsid w:val="00D66155"/>
    <w:rsid w:val="00D669F3"/>
    <w:rsid w:val="00D708B0"/>
    <w:rsid w:val="00D70DFD"/>
    <w:rsid w:val="00D77B1D"/>
    <w:rsid w:val="00D8021F"/>
    <w:rsid w:val="00D80383"/>
    <w:rsid w:val="00D819C7"/>
    <w:rsid w:val="00D823C6"/>
    <w:rsid w:val="00D8327F"/>
    <w:rsid w:val="00D847F0"/>
    <w:rsid w:val="00D86CA3"/>
    <w:rsid w:val="00D871CE"/>
    <w:rsid w:val="00D90D00"/>
    <w:rsid w:val="00D9196D"/>
    <w:rsid w:val="00D92982"/>
    <w:rsid w:val="00DA305E"/>
    <w:rsid w:val="00DA5417"/>
    <w:rsid w:val="00DA56E8"/>
    <w:rsid w:val="00DB0A9F"/>
    <w:rsid w:val="00DB377D"/>
    <w:rsid w:val="00DB7ECA"/>
    <w:rsid w:val="00DC147D"/>
    <w:rsid w:val="00DC22AE"/>
    <w:rsid w:val="00DC2D36"/>
    <w:rsid w:val="00DC53EF"/>
    <w:rsid w:val="00DE5608"/>
    <w:rsid w:val="00DE58D0"/>
    <w:rsid w:val="00DE5B10"/>
    <w:rsid w:val="00DE654F"/>
    <w:rsid w:val="00DF0B6E"/>
    <w:rsid w:val="00DF15E0"/>
    <w:rsid w:val="00DF37A0"/>
    <w:rsid w:val="00E05F59"/>
    <w:rsid w:val="00E110E7"/>
    <w:rsid w:val="00E11B20"/>
    <w:rsid w:val="00E11FA0"/>
    <w:rsid w:val="00E12BF8"/>
    <w:rsid w:val="00E1339E"/>
    <w:rsid w:val="00E16749"/>
    <w:rsid w:val="00E17A7E"/>
    <w:rsid w:val="00E17FA2"/>
    <w:rsid w:val="00E20324"/>
    <w:rsid w:val="00E22330"/>
    <w:rsid w:val="00E27566"/>
    <w:rsid w:val="00E30B5A"/>
    <w:rsid w:val="00E3123D"/>
    <w:rsid w:val="00E31461"/>
    <w:rsid w:val="00E31D43"/>
    <w:rsid w:val="00E32608"/>
    <w:rsid w:val="00E34188"/>
    <w:rsid w:val="00E34B6E"/>
    <w:rsid w:val="00E35559"/>
    <w:rsid w:val="00E3723A"/>
    <w:rsid w:val="00E37860"/>
    <w:rsid w:val="00E446F1"/>
    <w:rsid w:val="00E458B6"/>
    <w:rsid w:val="00E46886"/>
    <w:rsid w:val="00E47AEF"/>
    <w:rsid w:val="00E53B75"/>
    <w:rsid w:val="00E54E3B"/>
    <w:rsid w:val="00E57565"/>
    <w:rsid w:val="00E63838"/>
    <w:rsid w:val="00E64434"/>
    <w:rsid w:val="00E677FF"/>
    <w:rsid w:val="00E67C51"/>
    <w:rsid w:val="00E71795"/>
    <w:rsid w:val="00E72EFC"/>
    <w:rsid w:val="00E73817"/>
    <w:rsid w:val="00E758EC"/>
    <w:rsid w:val="00E8234C"/>
    <w:rsid w:val="00E83AA9"/>
    <w:rsid w:val="00E85928"/>
    <w:rsid w:val="00E87822"/>
    <w:rsid w:val="00E90395"/>
    <w:rsid w:val="00E90E49"/>
    <w:rsid w:val="00E917F9"/>
    <w:rsid w:val="00E9291C"/>
    <w:rsid w:val="00E93FFE"/>
    <w:rsid w:val="00E94C49"/>
    <w:rsid w:val="00E94F8A"/>
    <w:rsid w:val="00EA5771"/>
    <w:rsid w:val="00EA68D3"/>
    <w:rsid w:val="00EA7A41"/>
    <w:rsid w:val="00EB077B"/>
    <w:rsid w:val="00EB4EA2"/>
    <w:rsid w:val="00EC1558"/>
    <w:rsid w:val="00EC24D5"/>
    <w:rsid w:val="00EC27C6"/>
    <w:rsid w:val="00EC4207"/>
    <w:rsid w:val="00EC5653"/>
    <w:rsid w:val="00EC71CE"/>
    <w:rsid w:val="00ED085C"/>
    <w:rsid w:val="00ED1006"/>
    <w:rsid w:val="00ED7DE5"/>
    <w:rsid w:val="00EE4FAE"/>
    <w:rsid w:val="00EE5C2C"/>
    <w:rsid w:val="00EF18FE"/>
    <w:rsid w:val="00EF5787"/>
    <w:rsid w:val="00EF60D0"/>
    <w:rsid w:val="00EF6EB6"/>
    <w:rsid w:val="00F0268F"/>
    <w:rsid w:val="00F0528D"/>
    <w:rsid w:val="00F06C67"/>
    <w:rsid w:val="00F06DFD"/>
    <w:rsid w:val="00F071D1"/>
    <w:rsid w:val="00F07533"/>
    <w:rsid w:val="00F07CA6"/>
    <w:rsid w:val="00F10629"/>
    <w:rsid w:val="00F15FA5"/>
    <w:rsid w:val="00F209B7"/>
    <w:rsid w:val="00F20CA3"/>
    <w:rsid w:val="00F2258C"/>
    <w:rsid w:val="00F2376F"/>
    <w:rsid w:val="00F243D8"/>
    <w:rsid w:val="00F27C39"/>
    <w:rsid w:val="00F30828"/>
    <w:rsid w:val="00F313D6"/>
    <w:rsid w:val="00F33047"/>
    <w:rsid w:val="00F34545"/>
    <w:rsid w:val="00F34E66"/>
    <w:rsid w:val="00F40F0C"/>
    <w:rsid w:val="00F4766C"/>
    <w:rsid w:val="00F5060E"/>
    <w:rsid w:val="00F507D1"/>
    <w:rsid w:val="00F519CE"/>
    <w:rsid w:val="00F51ADA"/>
    <w:rsid w:val="00F521B8"/>
    <w:rsid w:val="00F552C2"/>
    <w:rsid w:val="00F60203"/>
    <w:rsid w:val="00F607C5"/>
    <w:rsid w:val="00F60DEA"/>
    <w:rsid w:val="00F61905"/>
    <w:rsid w:val="00F6302A"/>
    <w:rsid w:val="00F63950"/>
    <w:rsid w:val="00F64C2B"/>
    <w:rsid w:val="00F651BE"/>
    <w:rsid w:val="00F67F53"/>
    <w:rsid w:val="00F703BE"/>
    <w:rsid w:val="00F71F69"/>
    <w:rsid w:val="00F72B72"/>
    <w:rsid w:val="00F74BB9"/>
    <w:rsid w:val="00F75582"/>
    <w:rsid w:val="00F76EFA"/>
    <w:rsid w:val="00F77BDC"/>
    <w:rsid w:val="00F804BE"/>
    <w:rsid w:val="00F817CE"/>
    <w:rsid w:val="00F8456C"/>
    <w:rsid w:val="00F859D8"/>
    <w:rsid w:val="00F868F5"/>
    <w:rsid w:val="00F9056A"/>
    <w:rsid w:val="00F90F8D"/>
    <w:rsid w:val="00F92782"/>
    <w:rsid w:val="00F92FAD"/>
    <w:rsid w:val="00F93045"/>
    <w:rsid w:val="00F93AA9"/>
    <w:rsid w:val="00F96985"/>
    <w:rsid w:val="00F97838"/>
    <w:rsid w:val="00FA1F2D"/>
    <w:rsid w:val="00FA1F42"/>
    <w:rsid w:val="00FA2BB3"/>
    <w:rsid w:val="00FB3E47"/>
    <w:rsid w:val="00FB4C80"/>
    <w:rsid w:val="00FB5D67"/>
    <w:rsid w:val="00FB6A6A"/>
    <w:rsid w:val="00FC4662"/>
    <w:rsid w:val="00FC7429"/>
    <w:rsid w:val="00FD07F6"/>
    <w:rsid w:val="00FD1EC8"/>
    <w:rsid w:val="00FD47ED"/>
    <w:rsid w:val="00FD6143"/>
    <w:rsid w:val="00FD74DB"/>
    <w:rsid w:val="00FD7660"/>
    <w:rsid w:val="00FD768B"/>
    <w:rsid w:val="00FE0655"/>
    <w:rsid w:val="00FE2365"/>
    <w:rsid w:val="00FE37D7"/>
    <w:rsid w:val="00FE4C7B"/>
    <w:rsid w:val="00FE7336"/>
    <w:rsid w:val="00FE787C"/>
    <w:rsid w:val="00FF45A5"/>
    <w:rsid w:val="00FF5C91"/>
    <w:rsid w:val="00FF786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8090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 w:type="character" w:customStyle="1" w:styleId="B1Zchn">
    <w:name w:val="B1 Zchn"/>
    <w:qFormat/>
    <w:rsid w:val="00C04F3E"/>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4076</Words>
  <Characters>23234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27256</CharactersWithSpaces>
  <SharedDoc>false</SharedDoc>
  <HLinks>
    <vt:vector size="72" baseType="variant">
      <vt:variant>
        <vt:i4>1310775</vt:i4>
      </vt:variant>
      <vt:variant>
        <vt:i4>38</vt:i4>
      </vt:variant>
      <vt:variant>
        <vt:i4>0</vt:i4>
      </vt:variant>
      <vt:variant>
        <vt:i4>5</vt:i4>
      </vt:variant>
      <vt:variant>
        <vt:lpwstr/>
      </vt:variant>
      <vt:variant>
        <vt:lpwstr>_Toc139282705</vt:lpwstr>
      </vt:variant>
      <vt:variant>
        <vt:i4>1310775</vt:i4>
      </vt:variant>
      <vt:variant>
        <vt:i4>35</vt:i4>
      </vt:variant>
      <vt:variant>
        <vt:i4>0</vt:i4>
      </vt:variant>
      <vt:variant>
        <vt:i4>5</vt:i4>
      </vt:variant>
      <vt:variant>
        <vt:lpwstr/>
      </vt:variant>
      <vt:variant>
        <vt:lpwstr>_Toc139282704</vt:lpwstr>
      </vt:variant>
      <vt:variant>
        <vt:i4>1310775</vt:i4>
      </vt:variant>
      <vt:variant>
        <vt:i4>32</vt:i4>
      </vt:variant>
      <vt:variant>
        <vt:i4>0</vt:i4>
      </vt:variant>
      <vt:variant>
        <vt:i4>5</vt:i4>
      </vt:variant>
      <vt:variant>
        <vt:lpwstr/>
      </vt:variant>
      <vt:variant>
        <vt:lpwstr>_Toc139282703</vt:lpwstr>
      </vt:variant>
      <vt:variant>
        <vt:i4>1310775</vt:i4>
      </vt:variant>
      <vt:variant>
        <vt:i4>29</vt:i4>
      </vt:variant>
      <vt:variant>
        <vt:i4>0</vt:i4>
      </vt:variant>
      <vt:variant>
        <vt:i4>5</vt:i4>
      </vt:variant>
      <vt:variant>
        <vt:lpwstr/>
      </vt:variant>
      <vt:variant>
        <vt:lpwstr>_Toc139282702</vt:lpwstr>
      </vt:variant>
      <vt:variant>
        <vt:i4>1310775</vt:i4>
      </vt:variant>
      <vt:variant>
        <vt:i4>26</vt:i4>
      </vt:variant>
      <vt:variant>
        <vt:i4>0</vt:i4>
      </vt:variant>
      <vt:variant>
        <vt:i4>5</vt:i4>
      </vt:variant>
      <vt:variant>
        <vt:lpwstr/>
      </vt:variant>
      <vt:variant>
        <vt:lpwstr>_Toc139282701</vt:lpwstr>
      </vt:variant>
      <vt:variant>
        <vt:i4>1310775</vt:i4>
      </vt:variant>
      <vt:variant>
        <vt:i4>20</vt:i4>
      </vt:variant>
      <vt:variant>
        <vt:i4>0</vt:i4>
      </vt:variant>
      <vt:variant>
        <vt:i4>5</vt:i4>
      </vt:variant>
      <vt:variant>
        <vt:lpwstr/>
      </vt:variant>
      <vt:variant>
        <vt:lpwstr>_Toc139282700</vt:lpwstr>
      </vt:variant>
      <vt:variant>
        <vt:i4>1900598</vt:i4>
      </vt:variant>
      <vt:variant>
        <vt:i4>17</vt:i4>
      </vt:variant>
      <vt:variant>
        <vt:i4>0</vt:i4>
      </vt:variant>
      <vt:variant>
        <vt:i4>5</vt:i4>
      </vt:variant>
      <vt:variant>
        <vt:lpwstr/>
      </vt:variant>
      <vt:variant>
        <vt:lpwstr>_Toc139282699</vt:lpwstr>
      </vt:variant>
      <vt:variant>
        <vt:i4>1900598</vt:i4>
      </vt:variant>
      <vt:variant>
        <vt:i4>14</vt:i4>
      </vt:variant>
      <vt:variant>
        <vt:i4>0</vt:i4>
      </vt:variant>
      <vt:variant>
        <vt:i4>5</vt:i4>
      </vt:variant>
      <vt:variant>
        <vt:lpwstr/>
      </vt:variant>
      <vt:variant>
        <vt:lpwstr>_Toc139282698</vt:lpwstr>
      </vt:variant>
      <vt:variant>
        <vt:i4>1900598</vt:i4>
      </vt:variant>
      <vt:variant>
        <vt:i4>11</vt:i4>
      </vt:variant>
      <vt:variant>
        <vt:i4>0</vt:i4>
      </vt:variant>
      <vt:variant>
        <vt:i4>5</vt:i4>
      </vt:variant>
      <vt:variant>
        <vt:lpwstr/>
      </vt:variant>
      <vt:variant>
        <vt:lpwstr>_Toc139282697</vt:lpwstr>
      </vt:variant>
      <vt:variant>
        <vt:i4>1900598</vt:i4>
      </vt:variant>
      <vt:variant>
        <vt:i4>8</vt:i4>
      </vt:variant>
      <vt:variant>
        <vt:i4>0</vt:i4>
      </vt:variant>
      <vt:variant>
        <vt:i4>5</vt:i4>
      </vt:variant>
      <vt:variant>
        <vt:lpwstr/>
      </vt:variant>
      <vt:variant>
        <vt:lpwstr>_Toc139282696</vt:lpwstr>
      </vt:variant>
      <vt:variant>
        <vt:i4>1900598</vt:i4>
      </vt:variant>
      <vt:variant>
        <vt:i4>5</vt:i4>
      </vt:variant>
      <vt:variant>
        <vt:i4>0</vt:i4>
      </vt:variant>
      <vt:variant>
        <vt:i4>5</vt:i4>
      </vt:variant>
      <vt:variant>
        <vt:lpwstr/>
      </vt:variant>
      <vt:variant>
        <vt:lpwstr>_Toc139282695</vt:lpwstr>
      </vt:variant>
      <vt:variant>
        <vt:i4>1900598</vt:i4>
      </vt:variant>
      <vt:variant>
        <vt:i4>2</vt:i4>
      </vt:variant>
      <vt:variant>
        <vt:i4>0</vt:i4>
      </vt:variant>
      <vt:variant>
        <vt:i4>5</vt:i4>
      </vt:variant>
      <vt:variant>
        <vt:lpwstr/>
      </vt:variant>
      <vt:variant>
        <vt:lpwstr>_Toc139282694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2023-11-03T22:48:00Z</dcterms:created>
  <dcterms:modified xsi:type="dcterms:W3CDTF">2023-11-03T22:48:00Z</dcterms:modified>
  <cp:category/>
</cp:coreProperties>
</file>